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D618AA">
        <w:rPr>
          <w:b/>
        </w:rPr>
        <w:t>zur Plenarsitzung am 06.07.2021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4E2F84" w:rsidP="004E2F84">
            <w:pPr>
              <w:pStyle w:val="LTVerzDerFragenden"/>
            </w:pPr>
            <w:bookmarkStart w:id="1" w:name="VerzeichnisDerFragenden"/>
            <w:bookmarkEnd w:id="1"/>
            <w:r>
              <w:t>Adelt, Klaus (SPD)</w:t>
            </w:r>
          </w:p>
        </w:tc>
      </w:tr>
      <w:tr w:rsidR="004E2F84" w:rsidRPr="005833DD" w:rsidTr="001F3CDA">
        <w:tc>
          <w:tcPr>
            <w:tcW w:w="5000" w:type="pct"/>
          </w:tcPr>
          <w:p w:rsidR="004E2F84" w:rsidRDefault="00E37EF0" w:rsidP="004E2F84">
            <w:pPr>
              <w:pStyle w:val="LTVerzDerFragendenFrage"/>
            </w:pPr>
            <w:hyperlink w:anchor="Frage_Nr_18" w:tooltip="Frage Nr 18" w:history="1">
              <w:r w:rsidR="004E2F84">
                <w:rPr>
                  <w:rStyle w:val="Hyperlink"/>
                  <w:szCs w:val="24"/>
                </w:rPr>
                <w:t>Systemadministratoren in Bayern</w:t>
              </w:r>
              <w:r w:rsidR="004E2F84">
                <w:rPr>
                  <w:rStyle w:val="Hyperlink"/>
                  <w:szCs w:val="24"/>
                </w:rPr>
                <w:tab/>
                <w:t>18</w:t>
              </w:r>
            </w:hyperlink>
          </w:p>
        </w:tc>
      </w:tr>
      <w:tr w:rsidR="004E2F84" w:rsidRPr="005833DD" w:rsidTr="001F3CDA">
        <w:tc>
          <w:tcPr>
            <w:tcW w:w="5000" w:type="pct"/>
          </w:tcPr>
          <w:p w:rsidR="004E2F84" w:rsidRDefault="004E2F84" w:rsidP="004E2F84">
            <w:pPr>
              <w:pStyle w:val="LTVerzDerFragenden"/>
            </w:pPr>
            <w:r>
              <w:t>Arnold, Horst (SPD)</w:t>
            </w:r>
          </w:p>
        </w:tc>
      </w:tr>
      <w:tr w:rsidR="004E2F84" w:rsidRPr="005833DD" w:rsidTr="001F3CDA">
        <w:tc>
          <w:tcPr>
            <w:tcW w:w="5000" w:type="pct"/>
          </w:tcPr>
          <w:p w:rsidR="004E2F84" w:rsidRDefault="00E37EF0" w:rsidP="004E2F84">
            <w:pPr>
              <w:pStyle w:val="LTVerzDerFragendenFrage"/>
            </w:pPr>
            <w:hyperlink w:anchor="Frage_Nr_60" w:tooltip="Frage Nr 60" w:history="1">
              <w:r w:rsidR="004E2F84">
                <w:rPr>
                  <w:rStyle w:val="Hyperlink"/>
                  <w:szCs w:val="24"/>
                </w:rPr>
                <w:t>Kostenübernahme für vertrauliche Spurensicherung ZVSS nach sexualisierter und/oder körperlicher Gewalt</w:t>
              </w:r>
              <w:r w:rsidR="004E2F84">
                <w:rPr>
                  <w:rStyle w:val="Hyperlink"/>
                  <w:szCs w:val="24"/>
                </w:rPr>
                <w:tab/>
                <w:t>60</w:t>
              </w:r>
            </w:hyperlink>
          </w:p>
        </w:tc>
      </w:tr>
      <w:tr w:rsidR="004E2F84" w:rsidRPr="005833DD" w:rsidTr="001F3CDA">
        <w:tc>
          <w:tcPr>
            <w:tcW w:w="5000" w:type="pct"/>
          </w:tcPr>
          <w:p w:rsidR="004E2F84" w:rsidRDefault="004E2F84" w:rsidP="004E2F84">
            <w:pPr>
              <w:pStyle w:val="LTVerzDerFragenden"/>
            </w:pPr>
            <w:r>
              <w:t>Becher, Johannes (BÜNDNIS 90/DIE GRÜNEN)</w:t>
            </w:r>
          </w:p>
        </w:tc>
      </w:tr>
      <w:tr w:rsidR="004E2F84" w:rsidRPr="005833DD" w:rsidTr="001F3CDA">
        <w:tc>
          <w:tcPr>
            <w:tcW w:w="5000" w:type="pct"/>
          </w:tcPr>
          <w:p w:rsidR="004E2F84" w:rsidRDefault="00E37EF0" w:rsidP="004E2F84">
            <w:pPr>
              <w:pStyle w:val="LTVerzDerFragendenFrage"/>
            </w:pPr>
            <w:hyperlink w:anchor="Frage_Nr_9" w:tooltip="Frage Nr 9" w:history="1">
              <w:r w:rsidR="004E2F84">
                <w:rPr>
                  <w:rStyle w:val="Hyperlink"/>
                  <w:szCs w:val="24"/>
                </w:rPr>
                <w:t>Gutachten Bahnausbau München</w:t>
              </w:r>
              <w:r w:rsidR="004E2F84">
                <w:rPr>
                  <w:rStyle w:val="Hyperlink"/>
                  <w:szCs w:val="24"/>
                </w:rPr>
                <w:tab/>
                <w:t>9</w:t>
              </w:r>
            </w:hyperlink>
          </w:p>
        </w:tc>
      </w:tr>
      <w:tr w:rsidR="004E2F84" w:rsidRPr="005833DD" w:rsidTr="001F3CDA">
        <w:tc>
          <w:tcPr>
            <w:tcW w:w="5000" w:type="pct"/>
          </w:tcPr>
          <w:p w:rsidR="004E2F84" w:rsidRDefault="004E2F84" w:rsidP="004E2F84">
            <w:pPr>
              <w:pStyle w:val="LTVerzDerFragenden"/>
            </w:pPr>
            <w:r>
              <w:t>Bergmüller, Franz (AfD)</w:t>
            </w:r>
          </w:p>
        </w:tc>
      </w:tr>
      <w:tr w:rsidR="004E2F84" w:rsidRPr="005833DD" w:rsidTr="001F3CDA">
        <w:tc>
          <w:tcPr>
            <w:tcW w:w="5000" w:type="pct"/>
          </w:tcPr>
          <w:p w:rsidR="004E2F84" w:rsidRDefault="00E37EF0" w:rsidP="004E2F84">
            <w:pPr>
              <w:pStyle w:val="LTVerzDerFragendenFrage"/>
            </w:pPr>
            <w:hyperlink w:anchor="Frage_Nr_61" w:tooltip="Frage Nr 61" w:history="1">
              <w:r w:rsidR="004E2F84">
                <w:rPr>
                  <w:rStyle w:val="Hyperlink"/>
                  <w:szCs w:val="24"/>
                </w:rPr>
                <w:t xml:space="preserve">Die Forderung des Ministerpräsidenten </w:t>
              </w:r>
              <w:r w:rsidR="00D31808">
                <w:rPr>
                  <w:rStyle w:val="Hyperlink"/>
                  <w:szCs w:val="24"/>
                </w:rPr>
                <w:t xml:space="preserve">Dr. Markus Söder </w:t>
              </w:r>
              <w:r w:rsidR="004E2F84">
                <w:rPr>
                  <w:rStyle w:val="Hyperlink"/>
                  <w:szCs w:val="24"/>
                </w:rPr>
                <w:t xml:space="preserve">Kinder und </w:t>
              </w:r>
              <w:r w:rsidR="00D31808">
                <w:rPr>
                  <w:rStyle w:val="Hyperlink"/>
                  <w:szCs w:val="24"/>
                </w:rPr>
                <w:br/>
              </w:r>
              <w:r w:rsidR="004E2F84">
                <w:rPr>
                  <w:rStyle w:val="Hyperlink"/>
                  <w:szCs w:val="24"/>
                </w:rPr>
                <w:t>Jugendliche zu impfen</w:t>
              </w:r>
              <w:r w:rsidR="004E2F84">
                <w:rPr>
                  <w:rStyle w:val="Hyperlink"/>
                  <w:szCs w:val="24"/>
                </w:rPr>
                <w:tab/>
                <w:t>61</w:t>
              </w:r>
            </w:hyperlink>
          </w:p>
        </w:tc>
      </w:tr>
      <w:tr w:rsidR="004E2F84" w:rsidRPr="005833DD" w:rsidTr="001F3CDA">
        <w:tc>
          <w:tcPr>
            <w:tcW w:w="5000" w:type="pct"/>
          </w:tcPr>
          <w:p w:rsidR="004E2F84" w:rsidRDefault="002126F5" w:rsidP="004E2F84">
            <w:pPr>
              <w:pStyle w:val="LTVerzDerFragenden"/>
            </w:pPr>
            <w:r>
              <w:t>Bozo</w:t>
            </w:r>
            <w:r>
              <w:rPr>
                <w:rFonts w:cs="Arial"/>
              </w:rPr>
              <w:t>ğ</w:t>
            </w:r>
            <w:r w:rsidR="004E2F84">
              <w:t>lu, Cemal (BÜNDNIS 90/DIE GRÜNEN)</w:t>
            </w:r>
          </w:p>
        </w:tc>
      </w:tr>
      <w:tr w:rsidR="004E2F84" w:rsidRPr="005833DD" w:rsidTr="001F3CDA">
        <w:tc>
          <w:tcPr>
            <w:tcW w:w="5000" w:type="pct"/>
          </w:tcPr>
          <w:p w:rsidR="004E2F84" w:rsidRDefault="00E37EF0" w:rsidP="004E2F84">
            <w:pPr>
              <w:pStyle w:val="LTVerzDerFragendenFrage"/>
            </w:pPr>
            <w:hyperlink w:anchor="Frage_Nr_2" w:tooltip="Frage Nr 2" w:history="1">
              <w:r w:rsidR="004E2F84">
                <w:rPr>
                  <w:rStyle w:val="Hyperlink"/>
                  <w:szCs w:val="24"/>
                </w:rPr>
                <w:t>Anwerbeversuch des Landesamtes für Verfassung</w:t>
              </w:r>
              <w:r w:rsidR="00E404BB">
                <w:rPr>
                  <w:rStyle w:val="Hyperlink"/>
                  <w:szCs w:val="24"/>
                </w:rPr>
                <w:t>s</w:t>
              </w:r>
              <w:r w:rsidR="004E2F84">
                <w:rPr>
                  <w:rStyle w:val="Hyperlink"/>
                  <w:szCs w:val="24"/>
                </w:rPr>
                <w:t xml:space="preserve">schutz gegenüber der </w:t>
              </w:r>
              <w:r w:rsidR="00E404BB">
                <w:rPr>
                  <w:rStyle w:val="Hyperlink"/>
                  <w:szCs w:val="24"/>
                </w:rPr>
                <w:br/>
              </w:r>
              <w:r w:rsidR="004E2F84">
                <w:rPr>
                  <w:rStyle w:val="Hyperlink"/>
                  <w:szCs w:val="24"/>
                </w:rPr>
                <w:t xml:space="preserve">mutmaßlichen Rechtsterroristin </w:t>
              </w:r>
              <w:r w:rsidR="004E2F84" w:rsidRPr="004155C2">
                <w:rPr>
                  <w:rStyle w:val="Hyperlink"/>
                  <w:szCs w:val="24"/>
                  <w:highlight w:val="black"/>
                </w:rPr>
                <w:t>----------------</w:t>
              </w:r>
              <w:r w:rsidR="004E2F84">
                <w:rPr>
                  <w:rStyle w:val="Hyperlink"/>
                  <w:szCs w:val="24"/>
                </w:rPr>
                <w:tab/>
                <w:t>2</w:t>
              </w:r>
            </w:hyperlink>
          </w:p>
        </w:tc>
      </w:tr>
      <w:tr w:rsidR="004E2F84" w:rsidRPr="005833DD" w:rsidTr="001F3CDA">
        <w:tc>
          <w:tcPr>
            <w:tcW w:w="5000" w:type="pct"/>
          </w:tcPr>
          <w:p w:rsidR="004E2F84" w:rsidRDefault="002126F5" w:rsidP="004E2F84">
            <w:pPr>
              <w:pStyle w:val="LTVerzDerFragenden"/>
            </w:pPr>
            <w:r>
              <w:t xml:space="preserve">von </w:t>
            </w:r>
            <w:r w:rsidR="004E2F84">
              <w:t>Brunn, Florian (SPD)</w:t>
            </w:r>
          </w:p>
        </w:tc>
      </w:tr>
      <w:tr w:rsidR="004E2F84" w:rsidRPr="005833DD" w:rsidTr="001F3CDA">
        <w:tc>
          <w:tcPr>
            <w:tcW w:w="5000" w:type="pct"/>
          </w:tcPr>
          <w:p w:rsidR="004E2F84" w:rsidRDefault="00E37EF0" w:rsidP="004E2F84">
            <w:pPr>
              <w:pStyle w:val="LTVerzDerFragendenFrage"/>
            </w:pPr>
            <w:hyperlink w:anchor="Frage_Nr_62" w:tooltip="Frage Nr 62" w:history="1">
              <w:r w:rsidR="004E2F84">
                <w:rPr>
                  <w:rStyle w:val="Hyperlink"/>
                  <w:szCs w:val="24"/>
                </w:rPr>
                <w:t>FFP2-Maskenpflicht in Bayern</w:t>
              </w:r>
              <w:r w:rsidR="004E2F84">
                <w:rPr>
                  <w:rStyle w:val="Hyperlink"/>
                  <w:szCs w:val="24"/>
                </w:rPr>
                <w:tab/>
                <w:t>62</w:t>
              </w:r>
            </w:hyperlink>
          </w:p>
        </w:tc>
      </w:tr>
      <w:tr w:rsidR="004E2F84" w:rsidRPr="005833DD" w:rsidTr="001F3CDA">
        <w:tc>
          <w:tcPr>
            <w:tcW w:w="5000" w:type="pct"/>
          </w:tcPr>
          <w:p w:rsidR="004E2F84" w:rsidRDefault="004E2F84" w:rsidP="004E2F84">
            <w:pPr>
              <w:pStyle w:val="LTVerzDerFragenden"/>
            </w:pPr>
            <w:r>
              <w:t>Dr. Büchler, Markus (BÜNDNIS 90/DIE GRÜNEN)</w:t>
            </w:r>
          </w:p>
        </w:tc>
      </w:tr>
      <w:tr w:rsidR="004E2F84" w:rsidRPr="005833DD" w:rsidTr="001F3CDA">
        <w:tc>
          <w:tcPr>
            <w:tcW w:w="5000" w:type="pct"/>
          </w:tcPr>
          <w:p w:rsidR="004E2F84" w:rsidRDefault="00E37EF0" w:rsidP="004E2F84">
            <w:pPr>
              <w:pStyle w:val="LTVerzDerFragendenFrage"/>
            </w:pPr>
            <w:hyperlink w:anchor="Frage_Nr_10" w:tooltip="Frage Nr 10" w:history="1">
              <w:r w:rsidR="004E2F84">
                <w:rPr>
                  <w:rStyle w:val="Hyperlink"/>
                  <w:szCs w:val="24"/>
                </w:rPr>
                <w:t>Landesbedeutsame Buslinien</w:t>
              </w:r>
              <w:r w:rsidR="004E2F84">
                <w:rPr>
                  <w:rStyle w:val="Hyperlink"/>
                  <w:szCs w:val="24"/>
                </w:rPr>
                <w:tab/>
                <w:t>10</w:t>
              </w:r>
            </w:hyperlink>
          </w:p>
        </w:tc>
      </w:tr>
      <w:tr w:rsidR="004E2F84" w:rsidRPr="005833DD" w:rsidTr="001F3CDA">
        <w:tc>
          <w:tcPr>
            <w:tcW w:w="5000" w:type="pct"/>
          </w:tcPr>
          <w:p w:rsidR="004E2F84" w:rsidRDefault="004E2F84" w:rsidP="004E2F84">
            <w:pPr>
              <w:pStyle w:val="LTVerzDerFragenden"/>
            </w:pPr>
            <w:r>
              <w:t>Celina, Kerstin (BÜNDNIS 90/DIE GRÜNEN)</w:t>
            </w:r>
          </w:p>
        </w:tc>
      </w:tr>
      <w:tr w:rsidR="004E2F84" w:rsidRPr="005833DD" w:rsidTr="001F3CDA">
        <w:tc>
          <w:tcPr>
            <w:tcW w:w="5000" w:type="pct"/>
          </w:tcPr>
          <w:p w:rsidR="004E2F84" w:rsidRDefault="00E37EF0" w:rsidP="004E2F84">
            <w:pPr>
              <w:pStyle w:val="LTVerzDerFragendenFrage"/>
            </w:pPr>
            <w:hyperlink w:anchor="Frage_Nr_19" w:tooltip="Frage Nr 19" w:history="1">
              <w:r w:rsidR="004E2F84">
                <w:rPr>
                  <w:rStyle w:val="Hyperlink"/>
                  <w:szCs w:val="24"/>
                </w:rPr>
                <w:t xml:space="preserve">Anforderungen für den Einsatz an Grund-, Mittel- und Förderschulen für </w:t>
              </w:r>
              <w:r w:rsidR="00E404BB">
                <w:rPr>
                  <w:rStyle w:val="Hyperlink"/>
                  <w:szCs w:val="24"/>
                </w:rPr>
                <w:br/>
              </w:r>
              <w:r w:rsidR="004E2F84">
                <w:rPr>
                  <w:rStyle w:val="Hyperlink"/>
                  <w:szCs w:val="24"/>
                </w:rPr>
                <w:t>sogenannte anders Qualifizierte</w:t>
              </w:r>
              <w:r w:rsidR="004E2F84">
                <w:rPr>
                  <w:rStyle w:val="Hyperlink"/>
                  <w:szCs w:val="24"/>
                </w:rPr>
                <w:tab/>
                <w:t>19</w:t>
              </w:r>
            </w:hyperlink>
          </w:p>
        </w:tc>
      </w:tr>
      <w:tr w:rsidR="004E2F84" w:rsidRPr="005833DD" w:rsidTr="001F3CDA">
        <w:tc>
          <w:tcPr>
            <w:tcW w:w="5000" w:type="pct"/>
          </w:tcPr>
          <w:p w:rsidR="004E2F84" w:rsidRDefault="004E2F84" w:rsidP="004E2F84">
            <w:pPr>
              <w:pStyle w:val="LTVerzDerFragenden"/>
            </w:pPr>
            <w:r>
              <w:t>Deisenhofer, Maximilian (BÜNDNIS 90/DIE GRÜNEN)</w:t>
            </w:r>
          </w:p>
        </w:tc>
      </w:tr>
      <w:tr w:rsidR="004E2F84" w:rsidRPr="005833DD" w:rsidTr="001F3CDA">
        <w:tc>
          <w:tcPr>
            <w:tcW w:w="5000" w:type="pct"/>
          </w:tcPr>
          <w:p w:rsidR="004E2F84" w:rsidRDefault="00E37EF0" w:rsidP="004E2F84">
            <w:pPr>
              <w:pStyle w:val="LTVerzDerFragendenFrage"/>
            </w:pPr>
            <w:hyperlink w:anchor="Frage_Nr_63" w:tooltip="Frage Nr 63" w:history="1">
              <w:r w:rsidR="004E2F84">
                <w:rPr>
                  <w:rStyle w:val="Hyperlink"/>
                  <w:szCs w:val="24"/>
                </w:rPr>
                <w:t>EM-Spiele in München</w:t>
              </w:r>
              <w:r w:rsidR="004E2F84">
                <w:rPr>
                  <w:rStyle w:val="Hyperlink"/>
                  <w:szCs w:val="24"/>
                </w:rPr>
                <w:tab/>
                <w:t>63</w:t>
              </w:r>
            </w:hyperlink>
          </w:p>
        </w:tc>
      </w:tr>
    </w:tbl>
    <w:p w:rsidR="00F26F3D" w:rsidRDefault="00F26F3D">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4E2F84" w:rsidRPr="005833DD" w:rsidTr="001F3CDA">
        <w:tc>
          <w:tcPr>
            <w:tcW w:w="5000" w:type="pct"/>
          </w:tcPr>
          <w:p w:rsidR="004E2F84" w:rsidRDefault="004E2F84" w:rsidP="004E2F84">
            <w:pPr>
              <w:pStyle w:val="LTVerzDerFragenden"/>
            </w:pPr>
            <w:r>
              <w:lastRenderedPageBreak/>
              <w:t>Demirel, Gülseren (BÜNDNIS 90/DIE GRÜNEN)</w:t>
            </w:r>
          </w:p>
        </w:tc>
      </w:tr>
      <w:tr w:rsidR="004E2F84" w:rsidRPr="005833DD" w:rsidTr="001F3CDA">
        <w:tc>
          <w:tcPr>
            <w:tcW w:w="5000" w:type="pct"/>
          </w:tcPr>
          <w:p w:rsidR="004E2F84" w:rsidRDefault="00E37EF0" w:rsidP="004E2F84">
            <w:pPr>
              <w:pStyle w:val="LTVerzDerFragendenFrage"/>
            </w:pPr>
            <w:hyperlink w:anchor="Frage_Nr_3" w:tooltip="Frage Nr 3" w:history="1">
              <w:r w:rsidR="004E2F84">
                <w:rPr>
                  <w:rStyle w:val="Hyperlink"/>
                  <w:szCs w:val="24"/>
                </w:rPr>
                <w:t>WLAN in den Gem</w:t>
              </w:r>
              <w:r w:rsidR="00BD5052">
                <w:rPr>
                  <w:rStyle w:val="Hyperlink"/>
                  <w:szCs w:val="24"/>
                </w:rPr>
                <w:t>e</w:t>
              </w:r>
              <w:r w:rsidR="004E2F84">
                <w:rPr>
                  <w:rStyle w:val="Hyperlink"/>
                  <w:szCs w:val="24"/>
                </w:rPr>
                <w:t>inschaftsunterkünften für Geflüchtete in Bayern</w:t>
              </w:r>
              <w:r w:rsidR="004E2F84">
                <w:rPr>
                  <w:rStyle w:val="Hyperlink"/>
                  <w:szCs w:val="24"/>
                </w:rPr>
                <w:tab/>
                <w:t>3</w:t>
              </w:r>
            </w:hyperlink>
          </w:p>
        </w:tc>
      </w:tr>
      <w:tr w:rsidR="004E2F84" w:rsidRPr="005833DD" w:rsidTr="001F3CDA">
        <w:tc>
          <w:tcPr>
            <w:tcW w:w="5000" w:type="pct"/>
          </w:tcPr>
          <w:p w:rsidR="004E2F84" w:rsidRDefault="004E2F84" w:rsidP="004E2F84">
            <w:pPr>
              <w:pStyle w:val="LTVerzDerFragenden"/>
            </w:pPr>
            <w:r>
              <w:t>Duin, Albert (FDP)</w:t>
            </w:r>
          </w:p>
        </w:tc>
      </w:tr>
      <w:tr w:rsidR="004E2F84" w:rsidRPr="005833DD" w:rsidTr="001F3CDA">
        <w:tc>
          <w:tcPr>
            <w:tcW w:w="5000" w:type="pct"/>
          </w:tcPr>
          <w:p w:rsidR="004E2F84" w:rsidRDefault="00E37EF0" w:rsidP="004E2F84">
            <w:pPr>
              <w:pStyle w:val="LTVerzDerFragendenFrage"/>
            </w:pPr>
            <w:hyperlink w:anchor="Frage_Nr_41" w:tooltip="Frage Nr 41" w:history="1">
              <w:r w:rsidR="004E2F84">
                <w:rPr>
                  <w:rStyle w:val="Hyperlink"/>
                  <w:szCs w:val="24"/>
                </w:rPr>
                <w:t>Förderung der Luft- und Raumfahrt</w:t>
              </w:r>
              <w:r w:rsidR="004E2F84">
                <w:rPr>
                  <w:rStyle w:val="Hyperlink"/>
                  <w:szCs w:val="24"/>
                </w:rPr>
                <w:tab/>
                <w:t>41</w:t>
              </w:r>
            </w:hyperlink>
          </w:p>
        </w:tc>
      </w:tr>
      <w:tr w:rsidR="004E2F84" w:rsidRPr="005833DD" w:rsidTr="001F3CDA">
        <w:tc>
          <w:tcPr>
            <w:tcW w:w="5000" w:type="pct"/>
          </w:tcPr>
          <w:p w:rsidR="004E2F84" w:rsidRDefault="004E2F84" w:rsidP="004E2F84">
            <w:pPr>
              <w:pStyle w:val="LTVerzDerFragenden"/>
            </w:pPr>
            <w:r>
              <w:t>Ebner-Steiner, Katrin (AfD)</w:t>
            </w:r>
          </w:p>
        </w:tc>
      </w:tr>
      <w:tr w:rsidR="004E2F84" w:rsidRPr="005833DD" w:rsidTr="001F3CDA">
        <w:tc>
          <w:tcPr>
            <w:tcW w:w="5000" w:type="pct"/>
          </w:tcPr>
          <w:p w:rsidR="004E2F84" w:rsidRDefault="00E37EF0" w:rsidP="004E2F84">
            <w:pPr>
              <w:pStyle w:val="LTVerzDerFragendenFrage"/>
            </w:pPr>
            <w:hyperlink w:anchor="Frage_Nr_4" w:tooltip="Frage Nr 4" w:history="1">
              <w:r w:rsidR="004E2F84">
                <w:rPr>
                  <w:rStyle w:val="Hyperlink"/>
                  <w:szCs w:val="24"/>
                </w:rPr>
                <w:t>Affront gegen die ungarische Nationalmannschaft durch LGBTQ-Aktivisten</w:t>
              </w:r>
              <w:r w:rsidR="004E2F84">
                <w:rPr>
                  <w:rStyle w:val="Hyperlink"/>
                  <w:szCs w:val="24"/>
                </w:rPr>
                <w:tab/>
                <w:t>4</w:t>
              </w:r>
            </w:hyperlink>
          </w:p>
        </w:tc>
      </w:tr>
      <w:tr w:rsidR="004E2F84" w:rsidRPr="005833DD" w:rsidTr="001F3CDA">
        <w:tc>
          <w:tcPr>
            <w:tcW w:w="5000" w:type="pct"/>
          </w:tcPr>
          <w:p w:rsidR="004E2F84" w:rsidRDefault="004E2F84" w:rsidP="004E2F84">
            <w:pPr>
              <w:pStyle w:val="LTVerzDerFragenden"/>
            </w:pPr>
            <w:r>
              <w:t>Fehlner, Martina (SPD)</w:t>
            </w:r>
          </w:p>
        </w:tc>
      </w:tr>
      <w:tr w:rsidR="004E2F84" w:rsidRPr="005833DD" w:rsidTr="001F3CDA">
        <w:tc>
          <w:tcPr>
            <w:tcW w:w="5000" w:type="pct"/>
          </w:tcPr>
          <w:p w:rsidR="004E2F84" w:rsidRDefault="00E37EF0" w:rsidP="004E2F84">
            <w:pPr>
              <w:pStyle w:val="LTVerzDerFragendenFrage"/>
            </w:pPr>
            <w:hyperlink w:anchor="Frage_Nr_20" w:tooltip="Frage Nr 20" w:history="1">
              <w:r w:rsidR="004E2F84">
                <w:rPr>
                  <w:rStyle w:val="Hyperlink"/>
                  <w:szCs w:val="24"/>
                </w:rPr>
                <w:t>Corona-Förderprogramm für Schulen in kirchlicher und freier Trägerschaft</w:t>
              </w:r>
              <w:r w:rsidR="004E2F84">
                <w:rPr>
                  <w:rStyle w:val="Hyperlink"/>
                  <w:szCs w:val="24"/>
                </w:rPr>
                <w:tab/>
                <w:t>20</w:t>
              </w:r>
            </w:hyperlink>
          </w:p>
        </w:tc>
      </w:tr>
      <w:tr w:rsidR="004E2F84" w:rsidRPr="005833DD" w:rsidTr="001F3CDA">
        <w:tc>
          <w:tcPr>
            <w:tcW w:w="5000" w:type="pct"/>
          </w:tcPr>
          <w:p w:rsidR="004E2F84" w:rsidRDefault="004E2F84" w:rsidP="004E2F84">
            <w:pPr>
              <w:pStyle w:val="LTVerzDerFragenden"/>
            </w:pPr>
            <w:r>
              <w:t>Fischbach, Matthias (FDP)</w:t>
            </w:r>
          </w:p>
        </w:tc>
      </w:tr>
      <w:tr w:rsidR="004E2F84" w:rsidRPr="005833DD" w:rsidTr="001F3CDA">
        <w:tc>
          <w:tcPr>
            <w:tcW w:w="5000" w:type="pct"/>
          </w:tcPr>
          <w:p w:rsidR="004E2F84" w:rsidRDefault="00E37EF0" w:rsidP="004E2F84">
            <w:pPr>
              <w:pStyle w:val="LTVerzDerFragendenFrage"/>
            </w:pPr>
            <w:hyperlink w:anchor="Frage_Nr_21" w:tooltip="Frage Nr 21" w:history="1">
              <w:r w:rsidR="004E2F84">
                <w:rPr>
                  <w:rStyle w:val="Hyperlink"/>
                  <w:szCs w:val="24"/>
                </w:rPr>
                <w:t>Raumluftreinigerprogramm</w:t>
              </w:r>
              <w:r w:rsidR="004E2F84">
                <w:rPr>
                  <w:rStyle w:val="Hyperlink"/>
                  <w:szCs w:val="24"/>
                </w:rPr>
                <w:tab/>
                <w:t>21</w:t>
              </w:r>
            </w:hyperlink>
          </w:p>
        </w:tc>
      </w:tr>
      <w:tr w:rsidR="004E2F84" w:rsidRPr="005833DD" w:rsidTr="001F3CDA">
        <w:tc>
          <w:tcPr>
            <w:tcW w:w="5000" w:type="pct"/>
          </w:tcPr>
          <w:p w:rsidR="004E2F84" w:rsidRDefault="004E2F84" w:rsidP="004E2F84">
            <w:pPr>
              <w:pStyle w:val="LTVerzDerFragenden"/>
            </w:pPr>
            <w:r>
              <w:t>Flisek, Christian (SPD)</w:t>
            </w:r>
          </w:p>
        </w:tc>
      </w:tr>
      <w:tr w:rsidR="004E2F84" w:rsidRPr="005833DD" w:rsidTr="001F3CDA">
        <w:tc>
          <w:tcPr>
            <w:tcW w:w="5000" w:type="pct"/>
          </w:tcPr>
          <w:p w:rsidR="004E2F84" w:rsidRDefault="00E37EF0" w:rsidP="00BD5052">
            <w:pPr>
              <w:pStyle w:val="LTVerzDerFragendenFrage"/>
            </w:pPr>
            <w:hyperlink w:anchor="Frage_Nr_54" w:tooltip="Frage Nr 54" w:history="1">
              <w:r w:rsidR="004E2F84">
                <w:rPr>
                  <w:rStyle w:val="Hyperlink"/>
                  <w:szCs w:val="24"/>
                </w:rPr>
                <w:t>Schutz der Kita-Kinder vor Delta</w:t>
              </w:r>
              <w:r w:rsidR="00BD5052">
                <w:rPr>
                  <w:rStyle w:val="Hyperlink"/>
                  <w:szCs w:val="24"/>
                </w:rPr>
                <w:t>-V</w:t>
              </w:r>
              <w:r w:rsidR="004E2F84">
                <w:rPr>
                  <w:rStyle w:val="Hyperlink"/>
                  <w:szCs w:val="24"/>
                </w:rPr>
                <w:t>ariante</w:t>
              </w:r>
              <w:r w:rsidR="004E2F84">
                <w:rPr>
                  <w:rStyle w:val="Hyperlink"/>
                  <w:szCs w:val="24"/>
                </w:rPr>
                <w:tab/>
                <w:t>54</w:t>
              </w:r>
            </w:hyperlink>
          </w:p>
        </w:tc>
      </w:tr>
      <w:tr w:rsidR="004E2F84" w:rsidRPr="005833DD" w:rsidTr="001F3CDA">
        <w:tc>
          <w:tcPr>
            <w:tcW w:w="5000" w:type="pct"/>
          </w:tcPr>
          <w:p w:rsidR="004E2F84" w:rsidRDefault="004E2F84" w:rsidP="004E2F84">
            <w:pPr>
              <w:pStyle w:val="LTVerzDerFragenden"/>
            </w:pPr>
            <w:r>
              <w:t>Franke, Anne (BÜNDNIS 90/DIE GRÜNEN)</w:t>
            </w:r>
          </w:p>
        </w:tc>
      </w:tr>
      <w:tr w:rsidR="004E2F84" w:rsidRPr="005833DD" w:rsidTr="001F3CDA">
        <w:tc>
          <w:tcPr>
            <w:tcW w:w="5000" w:type="pct"/>
          </w:tcPr>
          <w:p w:rsidR="004E2F84" w:rsidRDefault="00E37EF0" w:rsidP="004E2F84">
            <w:pPr>
              <w:pStyle w:val="LTVerzDerFragendenFrage"/>
            </w:pPr>
            <w:hyperlink w:anchor="Frage_Nr_64" w:tooltip="Frage Nr 64" w:history="1">
              <w:r w:rsidR="004E2F84">
                <w:rPr>
                  <w:rStyle w:val="Hyperlink"/>
                  <w:szCs w:val="24"/>
                </w:rPr>
                <w:t xml:space="preserve">Abwassermonitoring zur Bekämpfung von </w:t>
              </w:r>
              <w:r w:rsidR="003F1661">
                <w:rPr>
                  <w:rStyle w:val="Hyperlink"/>
                  <w:szCs w:val="24"/>
                </w:rPr>
                <w:t>SARS</w:t>
              </w:r>
              <w:r w:rsidR="004E2F84">
                <w:rPr>
                  <w:rStyle w:val="Hyperlink"/>
                  <w:szCs w:val="24"/>
                </w:rPr>
                <w:t xml:space="preserve">-CoV-2 im Freistaat Bayern </w:t>
              </w:r>
              <w:r w:rsidR="00E404BB">
                <w:rPr>
                  <w:rStyle w:val="Hyperlink"/>
                  <w:szCs w:val="24"/>
                </w:rPr>
                <w:br/>
              </w:r>
              <w:r w:rsidR="004E2F84">
                <w:rPr>
                  <w:rStyle w:val="Hyperlink"/>
                  <w:szCs w:val="24"/>
                </w:rPr>
                <w:t>unverzügl</w:t>
              </w:r>
              <w:r w:rsidR="00E404BB">
                <w:rPr>
                  <w:rStyle w:val="Hyperlink"/>
                  <w:szCs w:val="24"/>
                </w:rPr>
                <w:t>ich umsetzen</w:t>
              </w:r>
              <w:r w:rsidR="004E2F84">
                <w:rPr>
                  <w:rStyle w:val="Hyperlink"/>
                  <w:szCs w:val="24"/>
                </w:rPr>
                <w:tab/>
                <w:t>64</w:t>
              </w:r>
            </w:hyperlink>
          </w:p>
        </w:tc>
      </w:tr>
      <w:tr w:rsidR="004E2F84" w:rsidRPr="005833DD" w:rsidTr="001F3CDA">
        <w:tc>
          <w:tcPr>
            <w:tcW w:w="5000" w:type="pct"/>
          </w:tcPr>
          <w:p w:rsidR="004E2F84" w:rsidRDefault="004E2F84" w:rsidP="004E2F84">
            <w:pPr>
              <w:pStyle w:val="LTVerzDerFragenden"/>
            </w:pPr>
            <w:r>
              <w:t>Friedl, Patrick (BÜNDNIS 90/DIE GRÜNEN)</w:t>
            </w:r>
          </w:p>
        </w:tc>
      </w:tr>
      <w:tr w:rsidR="004E2F84" w:rsidRPr="005833DD" w:rsidTr="001F3CDA">
        <w:tc>
          <w:tcPr>
            <w:tcW w:w="5000" w:type="pct"/>
          </w:tcPr>
          <w:p w:rsidR="004E2F84" w:rsidRDefault="00E37EF0" w:rsidP="004E2F84">
            <w:pPr>
              <w:pStyle w:val="LTVerzDerFragendenFrage"/>
            </w:pPr>
            <w:hyperlink w:anchor="Frage_Nr_48" w:tooltip="Frage Nr 48" w:history="1">
              <w:r w:rsidR="00E404BB">
                <w:rPr>
                  <w:rStyle w:val="Hyperlink"/>
                  <w:szCs w:val="24"/>
                </w:rPr>
                <w:t>Extremhitzeereignisse –</w:t>
              </w:r>
              <w:r w:rsidR="004E2F84">
                <w:rPr>
                  <w:rStyle w:val="Hyperlink"/>
                  <w:szCs w:val="24"/>
                </w:rPr>
                <w:t xml:space="preserve"> Bayerische Notfallplanung</w:t>
              </w:r>
              <w:r w:rsidR="004E2F84">
                <w:rPr>
                  <w:rStyle w:val="Hyperlink"/>
                  <w:szCs w:val="24"/>
                </w:rPr>
                <w:tab/>
                <w:t>48</w:t>
              </w:r>
            </w:hyperlink>
          </w:p>
        </w:tc>
      </w:tr>
      <w:tr w:rsidR="004E2F84" w:rsidRPr="005833DD" w:rsidTr="001F3CDA">
        <w:tc>
          <w:tcPr>
            <w:tcW w:w="5000" w:type="pct"/>
          </w:tcPr>
          <w:p w:rsidR="004E2F84" w:rsidRDefault="004E2F84" w:rsidP="004E2F84">
            <w:pPr>
              <w:pStyle w:val="LTVerzDerFragenden"/>
            </w:pPr>
            <w:r>
              <w:t>Fuchs, Barbara (BÜNDNIS 90/DIE GRÜNEN)</w:t>
            </w:r>
          </w:p>
        </w:tc>
      </w:tr>
      <w:tr w:rsidR="004E2F84" w:rsidRPr="005833DD" w:rsidTr="001F3CDA">
        <w:tc>
          <w:tcPr>
            <w:tcW w:w="5000" w:type="pct"/>
          </w:tcPr>
          <w:p w:rsidR="004E2F84" w:rsidRDefault="00E37EF0" w:rsidP="004E2F84">
            <w:pPr>
              <w:pStyle w:val="LTVerzDerFragendenFrage"/>
            </w:pPr>
            <w:hyperlink w:anchor="Frage_Nr_22" w:tooltip="Frage Nr 22" w:history="1">
              <w:r w:rsidR="004E2F84">
                <w:rPr>
                  <w:rStyle w:val="Hyperlink"/>
                  <w:szCs w:val="24"/>
                </w:rPr>
                <w:t>Lehrkräftemangel</w:t>
              </w:r>
              <w:r w:rsidR="004E2F84">
                <w:rPr>
                  <w:rStyle w:val="Hyperlink"/>
                  <w:szCs w:val="24"/>
                </w:rPr>
                <w:tab/>
                <w:t>22</w:t>
              </w:r>
            </w:hyperlink>
          </w:p>
        </w:tc>
      </w:tr>
      <w:tr w:rsidR="004E2F84" w:rsidRPr="005833DD" w:rsidTr="001F3CDA">
        <w:tc>
          <w:tcPr>
            <w:tcW w:w="5000" w:type="pct"/>
          </w:tcPr>
          <w:p w:rsidR="004E2F84" w:rsidRDefault="004E2F84" w:rsidP="004E2F84">
            <w:pPr>
              <w:pStyle w:val="LTVerzDerFragenden"/>
            </w:pPr>
            <w:r>
              <w:t>Ganserer, Tessa (BÜNDNIS 90/DIE GRÜNEN)</w:t>
            </w:r>
          </w:p>
        </w:tc>
      </w:tr>
      <w:tr w:rsidR="004E2F84" w:rsidRPr="005833DD" w:rsidTr="001F3CDA">
        <w:tc>
          <w:tcPr>
            <w:tcW w:w="5000" w:type="pct"/>
          </w:tcPr>
          <w:p w:rsidR="004E2F84" w:rsidRDefault="00E37EF0" w:rsidP="00E404BB">
            <w:pPr>
              <w:pStyle w:val="LTVerzDerFragendenFrage"/>
            </w:pPr>
            <w:hyperlink w:anchor="Frage_Nr_11" w:tooltip="Frage Nr 11" w:history="1">
              <w:r w:rsidR="004E2F84">
                <w:rPr>
                  <w:rStyle w:val="Hyperlink"/>
                  <w:szCs w:val="24"/>
                </w:rPr>
                <w:t>Osttangente im B</w:t>
              </w:r>
              <w:r w:rsidR="00E404BB">
                <w:rPr>
                  <w:rStyle w:val="Hyperlink"/>
                  <w:szCs w:val="24"/>
                </w:rPr>
                <w:t>undesverkehrswegeplan</w:t>
              </w:r>
              <w:r w:rsidR="004E2F84">
                <w:rPr>
                  <w:rStyle w:val="Hyperlink"/>
                  <w:szCs w:val="24"/>
                </w:rPr>
                <w:t xml:space="preserve"> 2030</w:t>
              </w:r>
              <w:r w:rsidR="004E2F84">
                <w:rPr>
                  <w:rStyle w:val="Hyperlink"/>
                  <w:szCs w:val="24"/>
                </w:rPr>
                <w:tab/>
                <w:t>11</w:t>
              </w:r>
            </w:hyperlink>
          </w:p>
        </w:tc>
      </w:tr>
      <w:tr w:rsidR="004E2F84" w:rsidRPr="005833DD" w:rsidTr="001F3CDA">
        <w:tc>
          <w:tcPr>
            <w:tcW w:w="5000" w:type="pct"/>
          </w:tcPr>
          <w:p w:rsidR="004E2F84" w:rsidRDefault="004E2F84" w:rsidP="004E2F84">
            <w:pPr>
              <w:pStyle w:val="LTVerzDerFragenden"/>
            </w:pPr>
            <w:r>
              <w:t>Gehring, Thomas (BÜNDNIS 90/DIE GRÜNEN)</w:t>
            </w:r>
          </w:p>
        </w:tc>
      </w:tr>
      <w:tr w:rsidR="004E2F84" w:rsidRPr="005833DD" w:rsidTr="001F3CDA">
        <w:tc>
          <w:tcPr>
            <w:tcW w:w="5000" w:type="pct"/>
          </w:tcPr>
          <w:p w:rsidR="004E2F84" w:rsidRDefault="00E37EF0" w:rsidP="004E2F84">
            <w:pPr>
              <w:pStyle w:val="LTVerzDerFragendenFrage"/>
            </w:pPr>
            <w:hyperlink w:anchor="Frage_Nr_23" w:tooltip="Frage Nr 23" w:history="1">
              <w:r w:rsidR="004E2F84">
                <w:rPr>
                  <w:rStyle w:val="Hyperlink"/>
                  <w:szCs w:val="24"/>
                </w:rPr>
                <w:t>Lehrkräftemangel an Mittelschulen</w:t>
              </w:r>
              <w:r w:rsidR="004E2F84">
                <w:rPr>
                  <w:rStyle w:val="Hyperlink"/>
                  <w:szCs w:val="24"/>
                </w:rPr>
                <w:tab/>
                <w:t>23</w:t>
              </w:r>
            </w:hyperlink>
          </w:p>
        </w:tc>
      </w:tr>
      <w:tr w:rsidR="004E2F84" w:rsidRPr="005833DD" w:rsidTr="001F3CDA">
        <w:tc>
          <w:tcPr>
            <w:tcW w:w="5000" w:type="pct"/>
          </w:tcPr>
          <w:p w:rsidR="004E2F84" w:rsidRDefault="004E2F84" w:rsidP="004E2F84">
            <w:pPr>
              <w:pStyle w:val="LTVerzDerFragenden"/>
            </w:pPr>
            <w:r>
              <w:t>Graupner, Richard (AfD)</w:t>
            </w:r>
          </w:p>
        </w:tc>
      </w:tr>
      <w:tr w:rsidR="004E2F84" w:rsidRPr="005833DD" w:rsidTr="001F3CDA">
        <w:tc>
          <w:tcPr>
            <w:tcW w:w="5000" w:type="pct"/>
          </w:tcPr>
          <w:p w:rsidR="004E2F84" w:rsidRDefault="00E37EF0" w:rsidP="00E404BB">
            <w:pPr>
              <w:pStyle w:val="LTVerzDerFragendenFrage"/>
            </w:pPr>
            <w:hyperlink w:anchor="Frage_Nr_15" w:tooltip="Frage Nr 15" w:history="1">
              <w:r w:rsidR="004E2F84">
                <w:rPr>
                  <w:rStyle w:val="Hyperlink"/>
                  <w:szCs w:val="24"/>
                </w:rPr>
                <w:t xml:space="preserve">Verletzung </w:t>
              </w:r>
              <w:r w:rsidR="00E404BB">
                <w:rPr>
                  <w:rStyle w:val="Hyperlink"/>
                  <w:szCs w:val="24"/>
                </w:rPr>
                <w:t>der Vertraulichkeit des Wortes –</w:t>
              </w:r>
              <w:r w:rsidR="004E2F84">
                <w:rPr>
                  <w:rStyle w:val="Hyperlink"/>
                  <w:szCs w:val="24"/>
                </w:rPr>
                <w:t xml:space="preserve"> Politisch Motivierte Straftat </w:t>
              </w:r>
              <w:r w:rsidR="00E404BB">
                <w:rPr>
                  <w:rStyle w:val="Hyperlink"/>
                  <w:szCs w:val="24"/>
                </w:rPr>
                <w:br/>
              </w:r>
              <w:r w:rsidR="004E2F84">
                <w:rPr>
                  <w:rStyle w:val="Hyperlink"/>
                  <w:szCs w:val="24"/>
                </w:rPr>
                <w:t>-</w:t>
              </w:r>
              <w:r w:rsidR="00BD5052">
                <w:rPr>
                  <w:rStyle w:val="Hyperlink"/>
                  <w:szCs w:val="24"/>
                </w:rPr>
                <w:t> </w:t>
              </w:r>
              <w:r w:rsidR="004E2F84">
                <w:rPr>
                  <w:rStyle w:val="Hyperlink"/>
                  <w:szCs w:val="24"/>
                </w:rPr>
                <w:t>links</w:t>
              </w:r>
              <w:r w:rsidR="00E404BB">
                <w:rPr>
                  <w:rStyle w:val="Hyperlink"/>
                  <w:szCs w:val="24"/>
                </w:rPr>
                <w:t xml:space="preserve"> –</w:t>
              </w:r>
              <w:r w:rsidR="004E2F84">
                <w:rPr>
                  <w:rStyle w:val="Hyperlink"/>
                  <w:szCs w:val="24"/>
                </w:rPr>
                <w:t xml:space="preserve"> Urteil rechtskräftig?</w:t>
              </w:r>
              <w:r w:rsidR="004E2F84">
                <w:rPr>
                  <w:rStyle w:val="Hyperlink"/>
                  <w:szCs w:val="24"/>
                </w:rPr>
                <w:tab/>
                <w:t>15</w:t>
              </w:r>
            </w:hyperlink>
          </w:p>
        </w:tc>
      </w:tr>
      <w:tr w:rsidR="004E2F84" w:rsidRPr="005833DD" w:rsidTr="001F3CDA">
        <w:tc>
          <w:tcPr>
            <w:tcW w:w="5000" w:type="pct"/>
          </w:tcPr>
          <w:p w:rsidR="004E2F84" w:rsidRDefault="004E2F84" w:rsidP="004E2F84">
            <w:pPr>
              <w:pStyle w:val="LTVerzDerFragenden"/>
            </w:pPr>
            <w:r>
              <w:t>Güller, Harald (SPD)</w:t>
            </w:r>
          </w:p>
        </w:tc>
      </w:tr>
      <w:tr w:rsidR="004E2F84" w:rsidRPr="005833DD" w:rsidTr="001F3CDA">
        <w:tc>
          <w:tcPr>
            <w:tcW w:w="5000" w:type="pct"/>
          </w:tcPr>
          <w:p w:rsidR="004E2F84" w:rsidRDefault="00E37EF0" w:rsidP="004E2F84">
            <w:pPr>
              <w:pStyle w:val="LTVerzDerFragendenFrage"/>
            </w:pPr>
            <w:hyperlink w:anchor="Frage_Nr_42" w:tooltip="Frage Nr 42" w:history="1">
              <w:r w:rsidR="004E2F84">
                <w:rPr>
                  <w:rStyle w:val="Hyperlink"/>
                  <w:szCs w:val="24"/>
                </w:rPr>
                <w:t>Veränderung der Trassenplanung für SuedLink</w:t>
              </w:r>
              <w:r w:rsidR="004E2F84">
                <w:rPr>
                  <w:rStyle w:val="Hyperlink"/>
                  <w:szCs w:val="24"/>
                </w:rPr>
                <w:tab/>
                <w:t>42</w:t>
              </w:r>
            </w:hyperlink>
          </w:p>
        </w:tc>
      </w:tr>
      <w:tr w:rsidR="004E2F84" w:rsidRPr="005833DD" w:rsidTr="001F3CDA">
        <w:tc>
          <w:tcPr>
            <w:tcW w:w="5000" w:type="pct"/>
          </w:tcPr>
          <w:p w:rsidR="004E2F84" w:rsidRDefault="004E2F84" w:rsidP="004E2F84">
            <w:pPr>
              <w:pStyle w:val="LTVerzDerFragenden"/>
            </w:pPr>
            <w:r>
              <w:t>Hagen, Martin (FDP)</w:t>
            </w:r>
          </w:p>
        </w:tc>
      </w:tr>
      <w:tr w:rsidR="004E2F84" w:rsidRPr="005833DD" w:rsidTr="001F3CDA">
        <w:tc>
          <w:tcPr>
            <w:tcW w:w="5000" w:type="pct"/>
          </w:tcPr>
          <w:p w:rsidR="004E2F84" w:rsidRDefault="00E37EF0" w:rsidP="004E2F84">
            <w:pPr>
              <w:pStyle w:val="LTVerzDerFragendenFrage"/>
            </w:pPr>
            <w:hyperlink w:anchor="Frage_Nr_1" w:tooltip="Frage Nr 1" w:history="1">
              <w:r w:rsidR="004E2F84">
                <w:rPr>
                  <w:rStyle w:val="Hyperlink"/>
                  <w:szCs w:val="24"/>
                </w:rPr>
                <w:t>Unabhängiger Runder Tisch zur Corona-Strategie</w:t>
              </w:r>
              <w:r w:rsidR="004E2F84">
                <w:rPr>
                  <w:rStyle w:val="Hyperlink"/>
                  <w:szCs w:val="24"/>
                </w:rPr>
                <w:tab/>
                <w:t>1</w:t>
              </w:r>
            </w:hyperlink>
          </w:p>
        </w:tc>
      </w:tr>
      <w:tr w:rsidR="004E2F84" w:rsidRPr="005833DD" w:rsidTr="001F3CDA">
        <w:tc>
          <w:tcPr>
            <w:tcW w:w="5000" w:type="pct"/>
          </w:tcPr>
          <w:p w:rsidR="004E2F84" w:rsidRDefault="004E2F84" w:rsidP="004E2F84">
            <w:pPr>
              <w:pStyle w:val="LTVerzDerFragenden"/>
            </w:pPr>
            <w:r>
              <w:t>Halbleib, Volkmar (SPD)</w:t>
            </w:r>
          </w:p>
        </w:tc>
      </w:tr>
      <w:tr w:rsidR="004E2F84" w:rsidRPr="005833DD" w:rsidTr="001F3CDA">
        <w:tc>
          <w:tcPr>
            <w:tcW w:w="5000" w:type="pct"/>
          </w:tcPr>
          <w:p w:rsidR="004E2F84" w:rsidRDefault="00E37EF0" w:rsidP="004E2F84">
            <w:pPr>
              <w:pStyle w:val="LTVerzDerFragendenFrage"/>
            </w:pPr>
            <w:hyperlink w:anchor="Frage_Nr_12" w:tooltip="Frage Nr 12" w:history="1">
              <w:r w:rsidR="004E2F84">
                <w:rPr>
                  <w:rStyle w:val="Hyperlink"/>
                  <w:szCs w:val="24"/>
                </w:rPr>
                <w:t>Barrierefreier Bahnhof Ochsenfurt</w:t>
              </w:r>
              <w:r w:rsidR="004E2F84">
                <w:rPr>
                  <w:rStyle w:val="Hyperlink"/>
                  <w:szCs w:val="24"/>
                </w:rPr>
                <w:tab/>
                <w:t>12</w:t>
              </w:r>
            </w:hyperlink>
          </w:p>
        </w:tc>
      </w:tr>
      <w:tr w:rsidR="004E2F84" w:rsidRPr="005833DD" w:rsidTr="001F3CDA">
        <w:tc>
          <w:tcPr>
            <w:tcW w:w="5000" w:type="pct"/>
          </w:tcPr>
          <w:p w:rsidR="004E2F84" w:rsidRDefault="004E2F84" w:rsidP="004E2F84">
            <w:pPr>
              <w:pStyle w:val="LTVerzDerFragenden"/>
            </w:pPr>
            <w:r>
              <w:t>Hartmann, Ludwig (BÜNDNIS 90/DIE GRÜNEN)</w:t>
            </w:r>
          </w:p>
        </w:tc>
      </w:tr>
      <w:tr w:rsidR="004E2F84" w:rsidRPr="005833DD" w:rsidTr="001F3CDA">
        <w:tc>
          <w:tcPr>
            <w:tcW w:w="5000" w:type="pct"/>
          </w:tcPr>
          <w:p w:rsidR="004E2F84" w:rsidRDefault="00E37EF0" w:rsidP="004E2F84">
            <w:pPr>
              <w:pStyle w:val="LTVerzDerFragendenFrage"/>
            </w:pPr>
            <w:hyperlink w:anchor="Frage_Nr_50" w:tooltip="Frage Nr 50" w:history="1">
              <w:r w:rsidR="004E2F84">
                <w:rPr>
                  <w:rStyle w:val="Hyperlink"/>
                  <w:szCs w:val="24"/>
                </w:rPr>
                <w:t xml:space="preserve">Gespräche über die Ansiedlung der Firma Steico auf Flächen in der Nähe </w:t>
              </w:r>
              <w:r w:rsidR="00E404BB">
                <w:rPr>
                  <w:rStyle w:val="Hyperlink"/>
                  <w:szCs w:val="24"/>
                </w:rPr>
                <w:br/>
              </w:r>
              <w:r w:rsidR="004E2F84">
                <w:rPr>
                  <w:rStyle w:val="Hyperlink"/>
                  <w:szCs w:val="24"/>
                </w:rPr>
                <w:t>des Guts Stillern</w:t>
              </w:r>
              <w:r w:rsidR="004E2F84">
                <w:rPr>
                  <w:rStyle w:val="Hyperlink"/>
                  <w:szCs w:val="24"/>
                </w:rPr>
                <w:tab/>
                <w:t>50</w:t>
              </w:r>
            </w:hyperlink>
          </w:p>
        </w:tc>
      </w:tr>
      <w:tr w:rsidR="004E2F84" w:rsidRPr="005833DD" w:rsidTr="001F3CDA">
        <w:tc>
          <w:tcPr>
            <w:tcW w:w="5000" w:type="pct"/>
          </w:tcPr>
          <w:p w:rsidR="004E2F84" w:rsidRDefault="004E2F84" w:rsidP="004E2F84">
            <w:pPr>
              <w:pStyle w:val="LTVerzDerFragenden"/>
            </w:pPr>
            <w:r>
              <w:t>Haubrich, Christina (BÜNDNIS 90/DIE GRÜNEN)</w:t>
            </w:r>
          </w:p>
        </w:tc>
      </w:tr>
      <w:tr w:rsidR="004E2F84" w:rsidRPr="005833DD" w:rsidTr="001F3CDA">
        <w:tc>
          <w:tcPr>
            <w:tcW w:w="5000" w:type="pct"/>
          </w:tcPr>
          <w:p w:rsidR="004E2F84" w:rsidRDefault="00E37EF0" w:rsidP="004E2F84">
            <w:pPr>
              <w:pStyle w:val="LTVerzDerFragendenFrage"/>
            </w:pPr>
            <w:hyperlink w:anchor="Frage_Nr_65" w:tooltip="Frage Nr 65" w:history="1">
              <w:r w:rsidR="004E2F84">
                <w:rPr>
                  <w:rStyle w:val="Hyperlink"/>
                  <w:szCs w:val="24"/>
                </w:rPr>
                <w:t>Informationsmobile und Impfanreize</w:t>
              </w:r>
              <w:r w:rsidR="004E2F84">
                <w:rPr>
                  <w:rStyle w:val="Hyperlink"/>
                  <w:szCs w:val="24"/>
                </w:rPr>
                <w:tab/>
                <w:t>65</w:t>
              </w:r>
            </w:hyperlink>
          </w:p>
        </w:tc>
      </w:tr>
      <w:tr w:rsidR="004E2F84" w:rsidRPr="005833DD" w:rsidTr="001F3CDA">
        <w:tc>
          <w:tcPr>
            <w:tcW w:w="5000" w:type="pct"/>
          </w:tcPr>
          <w:p w:rsidR="004E2F84" w:rsidRDefault="004E2F84" w:rsidP="004E2F84">
            <w:pPr>
              <w:pStyle w:val="LTVerzDerFragenden"/>
            </w:pPr>
            <w:r>
              <w:t>Dr. Heubisch, Wolfgang (FDP)</w:t>
            </w:r>
          </w:p>
        </w:tc>
      </w:tr>
      <w:tr w:rsidR="004E2F84" w:rsidRPr="005833DD" w:rsidTr="001F3CDA">
        <w:tc>
          <w:tcPr>
            <w:tcW w:w="5000" w:type="pct"/>
          </w:tcPr>
          <w:p w:rsidR="004E2F84" w:rsidRDefault="00E37EF0" w:rsidP="004E2F84">
            <w:pPr>
              <w:pStyle w:val="LTVerzDerFragendenFrage"/>
            </w:pPr>
            <w:hyperlink w:anchor="Frage_Nr_35" w:tooltip="Frage Nr 35" w:history="1">
              <w:r w:rsidR="004E2F84">
                <w:rPr>
                  <w:rStyle w:val="Hyperlink"/>
                  <w:szCs w:val="24"/>
                </w:rPr>
                <w:t>Impfen an bayerischen Universitäten und Hochschulen</w:t>
              </w:r>
              <w:r w:rsidR="004E2F84">
                <w:rPr>
                  <w:rStyle w:val="Hyperlink"/>
                  <w:szCs w:val="24"/>
                </w:rPr>
                <w:tab/>
                <w:t>35</w:t>
              </w:r>
            </w:hyperlink>
          </w:p>
        </w:tc>
      </w:tr>
      <w:tr w:rsidR="004E2F84" w:rsidRPr="005833DD" w:rsidTr="001F3CDA">
        <w:tc>
          <w:tcPr>
            <w:tcW w:w="5000" w:type="pct"/>
          </w:tcPr>
          <w:p w:rsidR="004E2F84" w:rsidRDefault="004E2F84" w:rsidP="004E2F84">
            <w:pPr>
              <w:pStyle w:val="LTVerzDerFragenden"/>
            </w:pPr>
            <w:r>
              <w:t>Hierneis, Christian (BÜNDNIS 90/DIE GRÜNEN)</w:t>
            </w:r>
          </w:p>
        </w:tc>
      </w:tr>
      <w:tr w:rsidR="004E2F84" w:rsidRPr="005833DD" w:rsidTr="001F3CDA">
        <w:tc>
          <w:tcPr>
            <w:tcW w:w="5000" w:type="pct"/>
          </w:tcPr>
          <w:p w:rsidR="004E2F84" w:rsidRDefault="00E37EF0" w:rsidP="004E2F84">
            <w:pPr>
              <w:pStyle w:val="LTVerzDerFragendenFrage"/>
            </w:pPr>
            <w:hyperlink w:anchor="Frage_Nr_49" w:tooltip="Frage Nr 49" w:history="1">
              <w:r w:rsidR="004E2F84">
                <w:rPr>
                  <w:rStyle w:val="Hyperlink"/>
                  <w:szCs w:val="24"/>
                </w:rPr>
                <w:t>Donaumoos</w:t>
              </w:r>
              <w:r w:rsidR="004E2F84">
                <w:rPr>
                  <w:rStyle w:val="Hyperlink"/>
                  <w:szCs w:val="24"/>
                </w:rPr>
                <w:tab/>
                <w:t>49</w:t>
              </w:r>
            </w:hyperlink>
          </w:p>
        </w:tc>
      </w:tr>
      <w:tr w:rsidR="004E2F84" w:rsidRPr="005833DD" w:rsidTr="001F3CDA">
        <w:tc>
          <w:tcPr>
            <w:tcW w:w="5000" w:type="pct"/>
          </w:tcPr>
          <w:p w:rsidR="004E2F84" w:rsidRDefault="004E2F84" w:rsidP="004E2F84">
            <w:pPr>
              <w:pStyle w:val="LTVerzDerFragenden"/>
            </w:pPr>
            <w:r>
              <w:lastRenderedPageBreak/>
              <w:t>Hiersemann, Alexandra (SPD)</w:t>
            </w:r>
          </w:p>
        </w:tc>
      </w:tr>
      <w:tr w:rsidR="004E2F84" w:rsidRPr="005833DD" w:rsidTr="001F3CDA">
        <w:tc>
          <w:tcPr>
            <w:tcW w:w="5000" w:type="pct"/>
          </w:tcPr>
          <w:p w:rsidR="004E2F84" w:rsidRDefault="00E37EF0" w:rsidP="004E2F84">
            <w:pPr>
              <w:pStyle w:val="LTVerzDerFragendenFrage"/>
            </w:pPr>
            <w:hyperlink w:anchor="Frage_Nr_38" w:tooltip="Frage Nr 38" w:history="1">
              <w:r w:rsidR="004E2F84">
                <w:rPr>
                  <w:rStyle w:val="Hyperlink"/>
                  <w:szCs w:val="24"/>
                </w:rPr>
                <w:t>Anerkennung einer Corona-Infektion als Dienstunfall: Frage 1</w:t>
              </w:r>
              <w:r w:rsidR="004E2F84">
                <w:rPr>
                  <w:rStyle w:val="Hyperlink"/>
                  <w:szCs w:val="24"/>
                </w:rPr>
                <w:tab/>
                <w:t>38</w:t>
              </w:r>
            </w:hyperlink>
          </w:p>
        </w:tc>
      </w:tr>
      <w:tr w:rsidR="004E2F84" w:rsidRPr="005833DD" w:rsidTr="001F3CDA">
        <w:tc>
          <w:tcPr>
            <w:tcW w:w="5000" w:type="pct"/>
          </w:tcPr>
          <w:p w:rsidR="004E2F84" w:rsidRDefault="004E2F84" w:rsidP="004E2F84">
            <w:pPr>
              <w:pStyle w:val="LTVerzDerFragenden"/>
            </w:pPr>
            <w:r>
              <w:t>Dr. Kaltenhauser, Helmut (FDP)</w:t>
            </w:r>
          </w:p>
        </w:tc>
      </w:tr>
      <w:tr w:rsidR="004E2F84" w:rsidRPr="005833DD" w:rsidTr="001F3CDA">
        <w:tc>
          <w:tcPr>
            <w:tcW w:w="5000" w:type="pct"/>
          </w:tcPr>
          <w:p w:rsidR="004E2F84" w:rsidRDefault="00E37EF0" w:rsidP="004E2F84">
            <w:pPr>
              <w:pStyle w:val="LTVerzDerFragendenFrage"/>
            </w:pPr>
            <w:hyperlink w:anchor="Frage_Nr_71" w:tooltip="Frage Nr 71" w:history="1">
              <w:r w:rsidR="004E2F84">
                <w:rPr>
                  <w:rStyle w:val="Hyperlink"/>
                  <w:szCs w:val="24"/>
                </w:rPr>
                <w:t>Fachlicher Hintergrund der Mitarbeiter im Staatsministerium für Digitales</w:t>
              </w:r>
              <w:r w:rsidR="004E2F84">
                <w:rPr>
                  <w:rStyle w:val="Hyperlink"/>
                  <w:szCs w:val="24"/>
                </w:rPr>
                <w:tab/>
                <w:t>71</w:t>
              </w:r>
            </w:hyperlink>
          </w:p>
        </w:tc>
      </w:tr>
      <w:tr w:rsidR="004E2F84" w:rsidRPr="005833DD" w:rsidTr="001F3CDA">
        <w:tc>
          <w:tcPr>
            <w:tcW w:w="5000" w:type="pct"/>
          </w:tcPr>
          <w:p w:rsidR="004E2F84" w:rsidRDefault="004E2F84" w:rsidP="004E2F84">
            <w:pPr>
              <w:pStyle w:val="LTVerzDerFragenden"/>
            </w:pPr>
            <w:r>
              <w:t>Karl, Annette (SPD)</w:t>
            </w:r>
          </w:p>
        </w:tc>
      </w:tr>
      <w:tr w:rsidR="004E2F84" w:rsidRPr="005833DD" w:rsidTr="001F3CDA">
        <w:tc>
          <w:tcPr>
            <w:tcW w:w="5000" w:type="pct"/>
          </w:tcPr>
          <w:p w:rsidR="004E2F84" w:rsidRDefault="00E37EF0" w:rsidP="004E2F84">
            <w:pPr>
              <w:pStyle w:val="LTVerzDerFragendenFrage"/>
            </w:pPr>
            <w:hyperlink w:anchor="Frage_Nr_43" w:tooltip="Frage Nr 43" w:history="1">
              <w:r w:rsidR="004E2F84">
                <w:rPr>
                  <w:rStyle w:val="Hyperlink"/>
                  <w:szCs w:val="24"/>
                </w:rPr>
                <w:t>Wirtschaftspolitische Krisen- und Restart-Strategie</w:t>
              </w:r>
              <w:r w:rsidR="004E2F84">
                <w:rPr>
                  <w:rStyle w:val="Hyperlink"/>
                  <w:szCs w:val="24"/>
                </w:rPr>
                <w:tab/>
                <w:t>43</w:t>
              </w:r>
            </w:hyperlink>
          </w:p>
        </w:tc>
      </w:tr>
      <w:tr w:rsidR="004E2F84" w:rsidRPr="005833DD" w:rsidTr="001F3CDA">
        <w:tc>
          <w:tcPr>
            <w:tcW w:w="5000" w:type="pct"/>
          </w:tcPr>
          <w:p w:rsidR="004E2F84" w:rsidRDefault="004E2F84" w:rsidP="004E2F84">
            <w:pPr>
              <w:pStyle w:val="LTVerzDerFragenden"/>
            </w:pPr>
            <w:r>
              <w:t>Knoblach, Paul (BÜNDNIS 90/DIE GRÜNEN)</w:t>
            </w:r>
          </w:p>
        </w:tc>
      </w:tr>
      <w:tr w:rsidR="004E2F84" w:rsidRPr="005833DD" w:rsidTr="001F3CDA">
        <w:tc>
          <w:tcPr>
            <w:tcW w:w="5000" w:type="pct"/>
          </w:tcPr>
          <w:p w:rsidR="004E2F84" w:rsidRDefault="00E37EF0" w:rsidP="004E2F84">
            <w:pPr>
              <w:pStyle w:val="LTVerzDerFragendenFrage"/>
            </w:pPr>
            <w:hyperlink w:anchor="Frage_Nr_66" w:tooltip="Frage Nr 66" w:history="1">
              <w:r w:rsidR="004E2F84">
                <w:rPr>
                  <w:rStyle w:val="Hyperlink"/>
                  <w:szCs w:val="24"/>
                </w:rPr>
                <w:t>Corona: Sequenzierung und Früherkennung</w:t>
              </w:r>
              <w:r w:rsidR="004E2F84">
                <w:rPr>
                  <w:rStyle w:val="Hyperlink"/>
                  <w:szCs w:val="24"/>
                </w:rPr>
                <w:tab/>
                <w:t>66</w:t>
              </w:r>
            </w:hyperlink>
          </w:p>
        </w:tc>
      </w:tr>
      <w:tr w:rsidR="004E2F84" w:rsidRPr="005833DD" w:rsidTr="001F3CDA">
        <w:tc>
          <w:tcPr>
            <w:tcW w:w="5000" w:type="pct"/>
          </w:tcPr>
          <w:p w:rsidR="004E2F84" w:rsidRDefault="004E2F84" w:rsidP="004E2F84">
            <w:pPr>
              <w:pStyle w:val="LTVerzDerFragenden"/>
            </w:pPr>
            <w:r>
              <w:t>Kohnen, Natascha (SPD)</w:t>
            </w:r>
          </w:p>
        </w:tc>
      </w:tr>
      <w:tr w:rsidR="004E2F84" w:rsidRPr="005833DD" w:rsidTr="001F3CDA">
        <w:tc>
          <w:tcPr>
            <w:tcW w:w="5000" w:type="pct"/>
          </w:tcPr>
          <w:p w:rsidR="004E2F84" w:rsidRDefault="00E37EF0" w:rsidP="004E2F84">
            <w:pPr>
              <w:pStyle w:val="LTVerzDerFragendenFrage"/>
            </w:pPr>
            <w:hyperlink w:anchor="Frage_Nr_55" w:tooltip="Frage Nr 55" w:history="1">
              <w:r w:rsidR="004E2F84">
                <w:rPr>
                  <w:rStyle w:val="Hyperlink"/>
                  <w:szCs w:val="24"/>
                </w:rPr>
                <w:t>Wohnungslosigkeit in Zeiten der Coronakrise</w:t>
              </w:r>
              <w:r w:rsidR="004E2F84">
                <w:rPr>
                  <w:rStyle w:val="Hyperlink"/>
                  <w:szCs w:val="24"/>
                </w:rPr>
                <w:tab/>
                <w:t>55</w:t>
              </w:r>
            </w:hyperlink>
          </w:p>
        </w:tc>
      </w:tr>
      <w:tr w:rsidR="004E2F84" w:rsidRPr="005833DD" w:rsidTr="001F3CDA">
        <w:tc>
          <w:tcPr>
            <w:tcW w:w="5000" w:type="pct"/>
          </w:tcPr>
          <w:p w:rsidR="004E2F84" w:rsidRDefault="004E2F84" w:rsidP="004E2F84">
            <w:pPr>
              <w:pStyle w:val="LTVerzDerFragenden"/>
            </w:pPr>
            <w:r>
              <w:t>Krahl, Andreas (BÜNDNIS 90/DIE GRÜNEN)</w:t>
            </w:r>
          </w:p>
        </w:tc>
      </w:tr>
      <w:tr w:rsidR="004E2F84" w:rsidRPr="005833DD" w:rsidTr="001F3CDA">
        <w:tc>
          <w:tcPr>
            <w:tcW w:w="5000" w:type="pct"/>
          </w:tcPr>
          <w:p w:rsidR="004E2F84" w:rsidRDefault="00E37EF0" w:rsidP="004E2F84">
            <w:pPr>
              <w:pStyle w:val="LTVerzDerFragendenFrage"/>
            </w:pPr>
            <w:hyperlink w:anchor="Frage_Nr_67" w:tooltip="Frage Nr 67" w:history="1">
              <w:r w:rsidR="004E2F84">
                <w:rPr>
                  <w:rStyle w:val="Hyperlink"/>
                  <w:szCs w:val="24"/>
                </w:rPr>
                <w:t>Zukunft der Bayerischen Impfkampagne</w:t>
              </w:r>
              <w:r w:rsidR="004E2F84">
                <w:rPr>
                  <w:rStyle w:val="Hyperlink"/>
                  <w:szCs w:val="24"/>
                </w:rPr>
                <w:tab/>
                <w:t>67</w:t>
              </w:r>
            </w:hyperlink>
          </w:p>
        </w:tc>
      </w:tr>
      <w:tr w:rsidR="004E2F84" w:rsidRPr="005833DD" w:rsidTr="001F3CDA">
        <w:tc>
          <w:tcPr>
            <w:tcW w:w="5000" w:type="pct"/>
          </w:tcPr>
          <w:p w:rsidR="004E2F84" w:rsidRDefault="004E2F84" w:rsidP="004E2F84">
            <w:pPr>
              <w:pStyle w:val="LTVerzDerFragenden"/>
            </w:pPr>
            <w:r>
              <w:t>Köhler, Claudia (BÜNDNIS 90/DIE GRÜNEN)</w:t>
            </w:r>
          </w:p>
        </w:tc>
      </w:tr>
      <w:tr w:rsidR="004E2F84" w:rsidRPr="005833DD" w:rsidTr="001F3CDA">
        <w:tc>
          <w:tcPr>
            <w:tcW w:w="5000" w:type="pct"/>
          </w:tcPr>
          <w:p w:rsidR="004E2F84" w:rsidRDefault="00E37EF0" w:rsidP="004E2F84">
            <w:pPr>
              <w:pStyle w:val="LTVerzDerFragendenFrage"/>
            </w:pPr>
            <w:hyperlink w:anchor="Frage_Nr_36" w:tooltip="Frage Nr 36" w:history="1">
              <w:r w:rsidR="004E2F84">
                <w:rPr>
                  <w:rStyle w:val="Hyperlink"/>
                  <w:szCs w:val="24"/>
                </w:rPr>
                <w:t>STOA 169</w:t>
              </w:r>
              <w:r w:rsidR="004E2F84">
                <w:rPr>
                  <w:rStyle w:val="Hyperlink"/>
                  <w:szCs w:val="24"/>
                </w:rPr>
                <w:tab/>
                <w:t>36</w:t>
              </w:r>
            </w:hyperlink>
          </w:p>
        </w:tc>
      </w:tr>
      <w:tr w:rsidR="004E2F84" w:rsidRPr="005833DD" w:rsidTr="001F3CDA">
        <w:tc>
          <w:tcPr>
            <w:tcW w:w="5000" w:type="pct"/>
          </w:tcPr>
          <w:p w:rsidR="004E2F84" w:rsidRDefault="004E2F84" w:rsidP="004E2F84">
            <w:pPr>
              <w:pStyle w:val="LTVerzDerFragenden"/>
            </w:pPr>
            <w:r>
              <w:t>Körber, Sebastian (FDP)</w:t>
            </w:r>
          </w:p>
        </w:tc>
      </w:tr>
      <w:tr w:rsidR="004E2F84" w:rsidRPr="005833DD" w:rsidTr="001F3CDA">
        <w:tc>
          <w:tcPr>
            <w:tcW w:w="5000" w:type="pct"/>
          </w:tcPr>
          <w:p w:rsidR="004E2F84" w:rsidRDefault="00E37EF0" w:rsidP="004E2F84">
            <w:pPr>
              <w:pStyle w:val="LTVerzDerFragendenFrage"/>
            </w:pPr>
            <w:hyperlink w:anchor="Frage_Nr_56" w:tooltip="Frage Nr 56" w:history="1">
              <w:r w:rsidR="004E2F84">
                <w:rPr>
                  <w:rStyle w:val="Hyperlink"/>
                  <w:szCs w:val="24"/>
                </w:rPr>
                <w:t>Queere Jugendliche in der Coronakrise</w:t>
              </w:r>
              <w:r w:rsidR="004E2F84">
                <w:rPr>
                  <w:rStyle w:val="Hyperlink"/>
                  <w:szCs w:val="24"/>
                </w:rPr>
                <w:tab/>
                <w:t>56</w:t>
              </w:r>
            </w:hyperlink>
          </w:p>
        </w:tc>
      </w:tr>
      <w:tr w:rsidR="004E2F84" w:rsidRPr="005833DD" w:rsidTr="001F3CDA">
        <w:tc>
          <w:tcPr>
            <w:tcW w:w="5000" w:type="pct"/>
          </w:tcPr>
          <w:p w:rsidR="004E2F84" w:rsidRDefault="004E2F84" w:rsidP="004E2F84">
            <w:pPr>
              <w:pStyle w:val="LTVerzDerFragenden"/>
            </w:pPr>
            <w:r>
              <w:t>Lettenbauer, Eva (BÜNDNIS 90/DIE GRÜNEN)</w:t>
            </w:r>
          </w:p>
        </w:tc>
      </w:tr>
      <w:tr w:rsidR="004E2F84" w:rsidRPr="005833DD" w:rsidTr="001F3CDA">
        <w:tc>
          <w:tcPr>
            <w:tcW w:w="5000" w:type="pct"/>
          </w:tcPr>
          <w:p w:rsidR="004E2F84" w:rsidRDefault="00E37EF0" w:rsidP="004E2F84">
            <w:pPr>
              <w:pStyle w:val="LTVerzDerFragendenFrage"/>
            </w:pPr>
            <w:hyperlink w:anchor="Frage_Nr_57" w:tooltip="Frage Nr 57" w:history="1">
              <w:r w:rsidR="004E2F84">
                <w:rPr>
                  <w:rStyle w:val="Hyperlink"/>
                  <w:szCs w:val="24"/>
                </w:rPr>
                <w:t>Unterstützung von Ehrenamtlichen</w:t>
              </w:r>
              <w:r w:rsidR="004E2F84">
                <w:rPr>
                  <w:rStyle w:val="Hyperlink"/>
                  <w:szCs w:val="24"/>
                </w:rPr>
                <w:tab/>
                <w:t>57</w:t>
              </w:r>
            </w:hyperlink>
          </w:p>
        </w:tc>
      </w:tr>
      <w:tr w:rsidR="004E2F84" w:rsidRPr="005833DD" w:rsidTr="001F3CDA">
        <w:tc>
          <w:tcPr>
            <w:tcW w:w="5000" w:type="pct"/>
          </w:tcPr>
          <w:p w:rsidR="004E2F84" w:rsidRDefault="004E2F84" w:rsidP="004E2F84">
            <w:pPr>
              <w:pStyle w:val="LTVerzDerFragenden"/>
            </w:pPr>
            <w:r>
              <w:t>Magerl, Roland (AfD)</w:t>
            </w:r>
          </w:p>
        </w:tc>
      </w:tr>
      <w:tr w:rsidR="004E2F84" w:rsidRPr="005833DD" w:rsidTr="001F3CDA">
        <w:tc>
          <w:tcPr>
            <w:tcW w:w="5000" w:type="pct"/>
          </w:tcPr>
          <w:p w:rsidR="004E2F84" w:rsidRDefault="00E37EF0" w:rsidP="004E2F84">
            <w:pPr>
              <w:pStyle w:val="LTVerzDerFragendenFrage"/>
            </w:pPr>
            <w:hyperlink w:anchor="Frage_Nr_68" w:tooltip="Frage Nr 68" w:history="1">
              <w:r w:rsidR="004E2F84">
                <w:rPr>
                  <w:rStyle w:val="Hyperlink"/>
                  <w:szCs w:val="24"/>
                </w:rPr>
                <w:t>Erkrankungen und Todesfäll</w:t>
              </w:r>
              <w:r w:rsidR="00BD5052">
                <w:rPr>
                  <w:rStyle w:val="Hyperlink"/>
                  <w:szCs w:val="24"/>
                </w:rPr>
                <w:t>e im Zusammenhang mit der Delta-V</w:t>
              </w:r>
              <w:r w:rsidR="004E2F84">
                <w:rPr>
                  <w:rStyle w:val="Hyperlink"/>
                  <w:szCs w:val="24"/>
                </w:rPr>
                <w:t xml:space="preserve">ariante </w:t>
              </w:r>
              <w:r w:rsidR="00E404BB">
                <w:rPr>
                  <w:rStyle w:val="Hyperlink"/>
                  <w:szCs w:val="24"/>
                </w:rPr>
                <w:br/>
              </w:r>
              <w:r w:rsidR="004E2F84">
                <w:rPr>
                  <w:rStyle w:val="Hyperlink"/>
                  <w:szCs w:val="24"/>
                </w:rPr>
                <w:t xml:space="preserve">des </w:t>
              </w:r>
              <w:r w:rsidR="003F1661">
                <w:rPr>
                  <w:rStyle w:val="Hyperlink"/>
                  <w:szCs w:val="24"/>
                </w:rPr>
                <w:t>SARS</w:t>
              </w:r>
              <w:r w:rsidR="004E2F84">
                <w:rPr>
                  <w:rStyle w:val="Hyperlink"/>
                  <w:szCs w:val="24"/>
                </w:rPr>
                <w:t>-CoV-2 Virus</w:t>
              </w:r>
              <w:r w:rsidR="004E2F84">
                <w:rPr>
                  <w:rStyle w:val="Hyperlink"/>
                  <w:szCs w:val="24"/>
                </w:rPr>
                <w:tab/>
                <w:t>68</w:t>
              </w:r>
            </w:hyperlink>
          </w:p>
        </w:tc>
      </w:tr>
      <w:tr w:rsidR="004E2F84" w:rsidRPr="005833DD" w:rsidTr="001F3CDA">
        <w:tc>
          <w:tcPr>
            <w:tcW w:w="5000" w:type="pct"/>
          </w:tcPr>
          <w:p w:rsidR="004E2F84" w:rsidRDefault="004E2F84" w:rsidP="004E2F84">
            <w:pPr>
              <w:pStyle w:val="LTVerzDerFragenden"/>
            </w:pPr>
            <w:r>
              <w:t>Mannes, Gerd (AfD)</w:t>
            </w:r>
          </w:p>
        </w:tc>
      </w:tr>
      <w:tr w:rsidR="004E2F84" w:rsidRPr="005833DD" w:rsidTr="001F3CDA">
        <w:tc>
          <w:tcPr>
            <w:tcW w:w="5000" w:type="pct"/>
          </w:tcPr>
          <w:p w:rsidR="004E2F84" w:rsidRDefault="00E37EF0" w:rsidP="004E2F84">
            <w:pPr>
              <w:pStyle w:val="LTVerzDerFragendenFrage"/>
            </w:pPr>
            <w:hyperlink w:anchor="Frage_Nr_72" w:tooltip="Frage Nr 72" w:history="1">
              <w:r w:rsidR="004E2F84">
                <w:rPr>
                  <w:rStyle w:val="Hyperlink"/>
                  <w:szCs w:val="24"/>
                </w:rPr>
                <w:t>Aktueller Ausgabenstand - Bayern Dig</w:t>
              </w:r>
              <w:r w:rsidR="00E404BB">
                <w:rPr>
                  <w:rStyle w:val="Hyperlink"/>
                  <w:szCs w:val="24"/>
                </w:rPr>
                <w:t>ital und Hightech Agenda Bayern</w:t>
              </w:r>
              <w:r w:rsidR="00BD5052">
                <w:rPr>
                  <w:rStyle w:val="Hyperlink"/>
                  <w:szCs w:val="24"/>
                </w:rPr>
                <w:t xml:space="preserve"> </w:t>
              </w:r>
              <w:r w:rsidR="00E404BB">
                <w:rPr>
                  <w:rStyle w:val="Hyperlink"/>
                  <w:szCs w:val="24"/>
                </w:rPr>
                <w:t>/</w:t>
              </w:r>
              <w:r w:rsidR="00E404BB">
                <w:rPr>
                  <w:rStyle w:val="Hyperlink"/>
                  <w:szCs w:val="24"/>
                </w:rPr>
                <w:br/>
              </w:r>
              <w:r w:rsidR="004E2F84">
                <w:rPr>
                  <w:rStyle w:val="Hyperlink"/>
                  <w:szCs w:val="24"/>
                </w:rPr>
                <w:t>Hightech Agenda Plus zum Juni 2021</w:t>
              </w:r>
              <w:r w:rsidR="004E2F84">
                <w:rPr>
                  <w:rStyle w:val="Hyperlink"/>
                  <w:szCs w:val="24"/>
                </w:rPr>
                <w:tab/>
                <w:t>72</w:t>
              </w:r>
            </w:hyperlink>
          </w:p>
        </w:tc>
      </w:tr>
      <w:tr w:rsidR="004E2F84" w:rsidRPr="005833DD" w:rsidTr="001F3CDA">
        <w:tc>
          <w:tcPr>
            <w:tcW w:w="5000" w:type="pct"/>
          </w:tcPr>
          <w:p w:rsidR="004E2F84" w:rsidRDefault="004E2F84" w:rsidP="004E2F84">
            <w:pPr>
              <w:pStyle w:val="LTVerzDerFragenden"/>
            </w:pPr>
            <w:r>
              <w:t>Markwort, Helmut (FDP)</w:t>
            </w:r>
          </w:p>
        </w:tc>
      </w:tr>
      <w:tr w:rsidR="004E2F84" w:rsidRPr="005833DD" w:rsidTr="001F3CDA">
        <w:tc>
          <w:tcPr>
            <w:tcW w:w="5000" w:type="pct"/>
          </w:tcPr>
          <w:p w:rsidR="004E2F84" w:rsidRDefault="00E37EF0" w:rsidP="004E2F84">
            <w:pPr>
              <w:pStyle w:val="LTVerzDerFragendenFrage"/>
            </w:pPr>
            <w:hyperlink w:anchor="Frage_Nr_16" w:tooltip="Frage Nr 16" w:history="1">
              <w:r w:rsidR="00E404BB">
                <w:rPr>
                  <w:rStyle w:val="Hyperlink"/>
                  <w:szCs w:val="24"/>
                </w:rPr>
                <w:t>Informationsleck bei der Staatsanwaltschaft</w:t>
              </w:r>
              <w:r w:rsidR="004E2F84">
                <w:rPr>
                  <w:rStyle w:val="Hyperlink"/>
                  <w:szCs w:val="24"/>
                </w:rPr>
                <w:t xml:space="preserve"> München</w:t>
              </w:r>
              <w:r w:rsidR="004E2F84">
                <w:rPr>
                  <w:rStyle w:val="Hyperlink"/>
                  <w:szCs w:val="24"/>
                </w:rPr>
                <w:tab/>
                <w:t>16</w:t>
              </w:r>
            </w:hyperlink>
          </w:p>
        </w:tc>
      </w:tr>
      <w:tr w:rsidR="004E2F84" w:rsidRPr="005833DD" w:rsidTr="001F3CDA">
        <w:tc>
          <w:tcPr>
            <w:tcW w:w="5000" w:type="pct"/>
          </w:tcPr>
          <w:p w:rsidR="004E2F84" w:rsidRDefault="004E2F84" w:rsidP="004E2F84">
            <w:pPr>
              <w:pStyle w:val="LTVerzDerFragenden"/>
            </w:pPr>
            <w:r>
              <w:t>Mistol, Jürgen (BÜNDNIS 90/DIE GRÜNEN)</w:t>
            </w:r>
          </w:p>
        </w:tc>
      </w:tr>
      <w:tr w:rsidR="004E2F84" w:rsidRPr="005833DD" w:rsidTr="001F3CDA">
        <w:tc>
          <w:tcPr>
            <w:tcW w:w="5000" w:type="pct"/>
          </w:tcPr>
          <w:p w:rsidR="004E2F84" w:rsidRDefault="00E37EF0" w:rsidP="004E2F84">
            <w:pPr>
              <w:pStyle w:val="LTVerzDerFragendenFrage"/>
            </w:pPr>
            <w:hyperlink w:anchor="Frage_Nr_13" w:tooltip="Frage Nr 13" w:history="1">
              <w:r w:rsidR="004E2F84">
                <w:rPr>
                  <w:rStyle w:val="Hyperlink"/>
                  <w:szCs w:val="24"/>
                </w:rPr>
                <w:t>Umsetzung des Baulandmobilisierungsgesetzes</w:t>
              </w:r>
              <w:r w:rsidR="004E2F84">
                <w:rPr>
                  <w:rStyle w:val="Hyperlink"/>
                  <w:szCs w:val="24"/>
                </w:rPr>
                <w:tab/>
                <w:t>13</w:t>
              </w:r>
            </w:hyperlink>
          </w:p>
        </w:tc>
      </w:tr>
      <w:tr w:rsidR="004E2F84" w:rsidRPr="005833DD" w:rsidTr="001F3CDA">
        <w:tc>
          <w:tcPr>
            <w:tcW w:w="5000" w:type="pct"/>
          </w:tcPr>
          <w:p w:rsidR="004E2F84" w:rsidRDefault="004E2F84" w:rsidP="004E2F84">
            <w:pPr>
              <w:pStyle w:val="LTVerzDerFragenden"/>
            </w:pPr>
            <w:r>
              <w:t>Monatzeder, Hep (BÜNDNIS 90/DIE GRÜNEN)</w:t>
            </w:r>
          </w:p>
        </w:tc>
      </w:tr>
      <w:tr w:rsidR="004E2F84" w:rsidRPr="005833DD" w:rsidTr="001F3CDA">
        <w:tc>
          <w:tcPr>
            <w:tcW w:w="5000" w:type="pct"/>
          </w:tcPr>
          <w:p w:rsidR="004E2F84" w:rsidRDefault="00E37EF0" w:rsidP="004E2F84">
            <w:pPr>
              <w:pStyle w:val="LTVerzDerFragendenFrage"/>
            </w:pPr>
            <w:hyperlink w:anchor="Frage_Nr_24" w:tooltip="Frage Nr 24" w:history="1">
              <w:r w:rsidR="004E2F84">
                <w:rPr>
                  <w:rStyle w:val="Hyperlink"/>
                  <w:szCs w:val="24"/>
                </w:rPr>
                <w:t>Mehrarbeit an Mittelschulen</w:t>
              </w:r>
              <w:r w:rsidR="004E2F84">
                <w:rPr>
                  <w:rStyle w:val="Hyperlink"/>
                  <w:szCs w:val="24"/>
                </w:rPr>
                <w:tab/>
                <w:t>24</w:t>
              </w:r>
            </w:hyperlink>
          </w:p>
        </w:tc>
      </w:tr>
      <w:tr w:rsidR="004E2F84" w:rsidRPr="005833DD" w:rsidTr="001F3CDA">
        <w:tc>
          <w:tcPr>
            <w:tcW w:w="5000" w:type="pct"/>
          </w:tcPr>
          <w:p w:rsidR="004E2F84" w:rsidRDefault="004E2F84" w:rsidP="004E2F84">
            <w:pPr>
              <w:pStyle w:val="LTVerzDerFragenden"/>
            </w:pPr>
            <w:r>
              <w:t>Muthmann, Alexander (FDP)</w:t>
            </w:r>
          </w:p>
        </w:tc>
      </w:tr>
      <w:tr w:rsidR="004E2F84" w:rsidRPr="005833DD" w:rsidTr="001F3CDA">
        <w:tc>
          <w:tcPr>
            <w:tcW w:w="5000" w:type="pct"/>
          </w:tcPr>
          <w:p w:rsidR="004E2F84" w:rsidRDefault="00E37EF0" w:rsidP="004E2F84">
            <w:pPr>
              <w:pStyle w:val="LTVerzDerFragendenFrage"/>
            </w:pPr>
            <w:hyperlink w:anchor="Frage_Nr_44" w:tooltip="Frage Nr 44" w:history="1">
              <w:r w:rsidR="004E2F84">
                <w:rPr>
                  <w:rStyle w:val="Hyperlink"/>
                  <w:szCs w:val="24"/>
                </w:rPr>
                <w:t>Wirtschaftsförderung in Bayern</w:t>
              </w:r>
              <w:r w:rsidR="004E2F84">
                <w:rPr>
                  <w:rStyle w:val="Hyperlink"/>
                  <w:szCs w:val="24"/>
                </w:rPr>
                <w:tab/>
                <w:t>44</w:t>
              </w:r>
            </w:hyperlink>
          </w:p>
        </w:tc>
      </w:tr>
      <w:tr w:rsidR="004E2F84" w:rsidRPr="005833DD" w:rsidTr="001F3CDA">
        <w:tc>
          <w:tcPr>
            <w:tcW w:w="5000" w:type="pct"/>
          </w:tcPr>
          <w:p w:rsidR="004E2F84" w:rsidRDefault="004E2F84" w:rsidP="004E2F84">
            <w:pPr>
              <w:pStyle w:val="LTVerzDerFragenden"/>
            </w:pPr>
            <w:r>
              <w:t>Müller, Ruth (SPD)</w:t>
            </w:r>
          </w:p>
        </w:tc>
      </w:tr>
      <w:tr w:rsidR="004E2F84" w:rsidRPr="005833DD" w:rsidTr="001F3CDA">
        <w:tc>
          <w:tcPr>
            <w:tcW w:w="5000" w:type="pct"/>
          </w:tcPr>
          <w:p w:rsidR="004E2F84" w:rsidRDefault="00E37EF0" w:rsidP="004E2F84">
            <w:pPr>
              <w:pStyle w:val="LTVerzDerFragendenFrage"/>
            </w:pPr>
            <w:hyperlink w:anchor="Frage_Nr_51" w:tooltip="Frage Nr 51" w:history="1">
              <w:r w:rsidR="004E2F84">
                <w:rPr>
                  <w:rStyle w:val="Hyperlink"/>
                  <w:szCs w:val="24"/>
                </w:rPr>
                <w:t xml:space="preserve">Schadensmeldungen für unwetterbedingte Aufwuchs- und Ertragsschäden </w:t>
              </w:r>
              <w:r w:rsidR="00E404BB">
                <w:rPr>
                  <w:rStyle w:val="Hyperlink"/>
                  <w:szCs w:val="24"/>
                </w:rPr>
                <w:br/>
              </w:r>
              <w:r w:rsidR="004E2F84">
                <w:rPr>
                  <w:rStyle w:val="Hyperlink"/>
                  <w:szCs w:val="24"/>
                </w:rPr>
                <w:t>von landwirtschaftlichen Betrieben in Bayern</w:t>
              </w:r>
              <w:r w:rsidR="004E2F84">
                <w:rPr>
                  <w:rStyle w:val="Hyperlink"/>
                  <w:szCs w:val="24"/>
                </w:rPr>
                <w:tab/>
                <w:t>51</w:t>
              </w:r>
            </w:hyperlink>
          </w:p>
        </w:tc>
      </w:tr>
      <w:tr w:rsidR="004E2F84" w:rsidRPr="005833DD" w:rsidTr="001F3CDA">
        <w:tc>
          <w:tcPr>
            <w:tcW w:w="5000" w:type="pct"/>
          </w:tcPr>
          <w:p w:rsidR="004E2F84" w:rsidRDefault="004E2F84" w:rsidP="004E2F84">
            <w:pPr>
              <w:pStyle w:val="LTVerzDerFragenden"/>
            </w:pPr>
            <w:r>
              <w:t>Osgyan, Verena (BÜNDNIS 90/DIE GRÜNEN)</w:t>
            </w:r>
          </w:p>
        </w:tc>
      </w:tr>
      <w:tr w:rsidR="004E2F84" w:rsidRPr="005833DD" w:rsidTr="001F3CDA">
        <w:tc>
          <w:tcPr>
            <w:tcW w:w="5000" w:type="pct"/>
          </w:tcPr>
          <w:p w:rsidR="004E2F84" w:rsidRDefault="00E37EF0" w:rsidP="004E2F84">
            <w:pPr>
              <w:pStyle w:val="LTVerzDerFragendenFrage"/>
            </w:pPr>
            <w:hyperlink w:anchor="Frage_Nr_25" w:tooltip="Frage Nr 25" w:history="1">
              <w:r w:rsidR="004E2F84">
                <w:rPr>
                  <w:rStyle w:val="Hyperlink"/>
                  <w:szCs w:val="24"/>
                </w:rPr>
                <w:t>Lehrkräftemangel Zweitqualifizierung</w:t>
              </w:r>
              <w:r w:rsidR="004E2F84">
                <w:rPr>
                  <w:rStyle w:val="Hyperlink"/>
                  <w:szCs w:val="24"/>
                </w:rPr>
                <w:tab/>
                <w:t>25</w:t>
              </w:r>
            </w:hyperlink>
          </w:p>
        </w:tc>
      </w:tr>
      <w:tr w:rsidR="004E2F84" w:rsidRPr="005833DD" w:rsidTr="001F3CDA">
        <w:tc>
          <w:tcPr>
            <w:tcW w:w="5000" w:type="pct"/>
          </w:tcPr>
          <w:p w:rsidR="004E2F84" w:rsidRDefault="004E2F84" w:rsidP="004E2F84">
            <w:pPr>
              <w:pStyle w:val="LTVerzDerFragenden"/>
            </w:pPr>
            <w:r>
              <w:t>Pargent, Tim (BÜNDNIS 90/DIE GRÜNEN)</w:t>
            </w:r>
          </w:p>
        </w:tc>
      </w:tr>
      <w:tr w:rsidR="004E2F84" w:rsidRPr="005833DD" w:rsidTr="001F3CDA">
        <w:tc>
          <w:tcPr>
            <w:tcW w:w="5000" w:type="pct"/>
          </w:tcPr>
          <w:p w:rsidR="004E2F84" w:rsidRDefault="00E37EF0" w:rsidP="004E2F84">
            <w:pPr>
              <w:pStyle w:val="LTVerzDerFragendenFrage"/>
            </w:pPr>
            <w:hyperlink w:anchor="Frage_Nr_5" w:tooltip="Frage Nr 5" w:history="1">
              <w:r w:rsidR="004E2F84">
                <w:rPr>
                  <w:rStyle w:val="Hyperlink"/>
                  <w:szCs w:val="24"/>
                </w:rPr>
                <w:t>Neuregelung Glücksspiel: Einzahlungslimits</w:t>
              </w:r>
              <w:r w:rsidR="004E2F84">
                <w:rPr>
                  <w:rStyle w:val="Hyperlink"/>
                  <w:szCs w:val="24"/>
                </w:rPr>
                <w:tab/>
                <w:t>5</w:t>
              </w:r>
            </w:hyperlink>
          </w:p>
        </w:tc>
      </w:tr>
      <w:tr w:rsidR="004E2F84" w:rsidRPr="005833DD" w:rsidTr="001F3CDA">
        <w:tc>
          <w:tcPr>
            <w:tcW w:w="5000" w:type="pct"/>
          </w:tcPr>
          <w:p w:rsidR="004E2F84" w:rsidRDefault="004E2F84" w:rsidP="004E2F84">
            <w:pPr>
              <w:pStyle w:val="LTVerzDerFragenden"/>
            </w:pPr>
            <w:r>
              <w:t>Rauscher, Doris (SPD)</w:t>
            </w:r>
          </w:p>
        </w:tc>
      </w:tr>
      <w:tr w:rsidR="004E2F84" w:rsidRPr="005833DD" w:rsidTr="001F3CDA">
        <w:tc>
          <w:tcPr>
            <w:tcW w:w="5000" w:type="pct"/>
          </w:tcPr>
          <w:p w:rsidR="004E2F84" w:rsidRDefault="00E37EF0" w:rsidP="00E404BB">
            <w:pPr>
              <w:pStyle w:val="LTVerzDerFragendenFrage"/>
            </w:pPr>
            <w:hyperlink w:anchor="Frage_Nr_58" w:tooltip="Frage Nr 58" w:history="1">
              <w:r w:rsidR="004E2F84">
                <w:rPr>
                  <w:rStyle w:val="Hyperlink"/>
                  <w:szCs w:val="24"/>
                </w:rPr>
                <w:t>Corona</w:t>
              </w:r>
              <w:r w:rsidR="00E404BB">
                <w:rPr>
                  <w:rStyle w:val="Hyperlink"/>
                  <w:szCs w:val="24"/>
                </w:rPr>
                <w:t>-T</w:t>
              </w:r>
              <w:r w:rsidR="004E2F84">
                <w:rPr>
                  <w:rStyle w:val="Hyperlink"/>
                  <w:szCs w:val="24"/>
                </w:rPr>
                <w:t>ests für Kitakinder</w:t>
              </w:r>
              <w:r w:rsidR="004E2F84">
                <w:rPr>
                  <w:rStyle w:val="Hyperlink"/>
                  <w:szCs w:val="24"/>
                </w:rPr>
                <w:tab/>
                <w:t>58</w:t>
              </w:r>
            </w:hyperlink>
          </w:p>
        </w:tc>
      </w:tr>
      <w:tr w:rsidR="004E2F84" w:rsidRPr="005833DD" w:rsidTr="001F3CDA">
        <w:tc>
          <w:tcPr>
            <w:tcW w:w="5000" w:type="pct"/>
          </w:tcPr>
          <w:p w:rsidR="004E2F84" w:rsidRDefault="004E2F84" w:rsidP="004E2F84">
            <w:pPr>
              <w:pStyle w:val="LTVerzDerFragenden"/>
            </w:pPr>
            <w:r>
              <w:lastRenderedPageBreak/>
              <w:t>Rinderspacher, Markus (SPD)</w:t>
            </w:r>
          </w:p>
        </w:tc>
      </w:tr>
      <w:tr w:rsidR="004E2F84" w:rsidRPr="005833DD" w:rsidTr="001F3CDA">
        <w:tc>
          <w:tcPr>
            <w:tcW w:w="5000" w:type="pct"/>
          </w:tcPr>
          <w:p w:rsidR="004E2F84" w:rsidRDefault="00E37EF0" w:rsidP="004E2F84">
            <w:pPr>
              <w:pStyle w:val="LTVerzDerFragendenFrage"/>
            </w:pPr>
            <w:hyperlink w:anchor="Frage_Nr_39" w:tooltip="Frage Nr 39" w:history="1">
              <w:r w:rsidR="004E2F84">
                <w:rPr>
                  <w:rStyle w:val="Hyperlink"/>
                  <w:szCs w:val="24"/>
                </w:rPr>
                <w:t>Anerkennung einer Corona-Infektion als Dienstunfall: Frage 2</w:t>
              </w:r>
              <w:r w:rsidR="004E2F84">
                <w:rPr>
                  <w:rStyle w:val="Hyperlink"/>
                  <w:szCs w:val="24"/>
                </w:rPr>
                <w:tab/>
                <w:t>39</w:t>
              </w:r>
            </w:hyperlink>
          </w:p>
        </w:tc>
      </w:tr>
      <w:tr w:rsidR="004E2F84" w:rsidRPr="005833DD" w:rsidTr="001F3CDA">
        <w:tc>
          <w:tcPr>
            <w:tcW w:w="5000" w:type="pct"/>
          </w:tcPr>
          <w:p w:rsidR="004E2F84" w:rsidRDefault="004E2F84" w:rsidP="004E2F84">
            <w:pPr>
              <w:pStyle w:val="LTVerzDerFragenden"/>
            </w:pPr>
            <w:r>
              <w:t>Sandt, Julika (FDP)</w:t>
            </w:r>
          </w:p>
        </w:tc>
      </w:tr>
      <w:tr w:rsidR="004E2F84" w:rsidRPr="005833DD" w:rsidTr="001F3CDA">
        <w:tc>
          <w:tcPr>
            <w:tcW w:w="5000" w:type="pct"/>
          </w:tcPr>
          <w:p w:rsidR="004E2F84" w:rsidRDefault="00E37EF0" w:rsidP="004E2F84">
            <w:pPr>
              <w:pStyle w:val="LTVerzDerFragendenFrage"/>
            </w:pPr>
            <w:hyperlink w:anchor="Frage_Nr_59" w:tooltip="Frage Nr 59" w:history="1">
              <w:r w:rsidR="004E2F84">
                <w:rPr>
                  <w:rStyle w:val="Hyperlink"/>
                  <w:szCs w:val="24"/>
                </w:rPr>
                <w:t>Mobile Luftreinigungsgeräte und CO</w:t>
              </w:r>
              <w:r w:rsidR="004E2F84" w:rsidRPr="00E404BB">
                <w:rPr>
                  <w:rStyle w:val="Hyperlink"/>
                  <w:szCs w:val="24"/>
                  <w:vertAlign w:val="subscript"/>
                </w:rPr>
                <w:t>2</w:t>
              </w:r>
              <w:r w:rsidR="004E2F84">
                <w:rPr>
                  <w:rStyle w:val="Hyperlink"/>
                  <w:szCs w:val="24"/>
                </w:rPr>
                <w:t>-Sensoren in Kindertageseinrichtungen</w:t>
              </w:r>
              <w:r w:rsidR="004E2F84">
                <w:rPr>
                  <w:rStyle w:val="Hyperlink"/>
                  <w:szCs w:val="24"/>
                </w:rPr>
                <w:tab/>
                <w:t>59</w:t>
              </w:r>
            </w:hyperlink>
          </w:p>
        </w:tc>
      </w:tr>
      <w:tr w:rsidR="004E2F84" w:rsidRPr="005833DD" w:rsidTr="001F3CDA">
        <w:tc>
          <w:tcPr>
            <w:tcW w:w="5000" w:type="pct"/>
          </w:tcPr>
          <w:p w:rsidR="004E2F84" w:rsidRDefault="004E2F84" w:rsidP="004E2F84">
            <w:pPr>
              <w:pStyle w:val="LTVerzDerFragenden"/>
            </w:pPr>
            <w:r>
              <w:t>Schiffers, Jan (AfD)</w:t>
            </w:r>
          </w:p>
        </w:tc>
      </w:tr>
      <w:tr w:rsidR="004E2F84" w:rsidRPr="005833DD" w:rsidTr="001F3CDA">
        <w:tc>
          <w:tcPr>
            <w:tcW w:w="5000" w:type="pct"/>
          </w:tcPr>
          <w:p w:rsidR="004E2F84" w:rsidRDefault="00E37EF0" w:rsidP="00BD5052">
            <w:pPr>
              <w:pStyle w:val="LTVerzDerFragendenFrage"/>
            </w:pPr>
            <w:hyperlink w:anchor="Frage_Nr_6" w:tooltip="Frage Nr 6" w:history="1">
              <w:r w:rsidR="004E2F84">
                <w:rPr>
                  <w:rStyle w:val="Hyperlink"/>
                  <w:szCs w:val="24"/>
                </w:rPr>
                <w:t>Antifa</w:t>
              </w:r>
              <w:r w:rsidR="00BD5052">
                <w:rPr>
                  <w:rStyle w:val="Hyperlink"/>
                  <w:szCs w:val="24"/>
                </w:rPr>
                <w:t>-</w:t>
              </w:r>
              <w:r w:rsidR="004E2F84">
                <w:rPr>
                  <w:rStyle w:val="Hyperlink"/>
                  <w:szCs w:val="24"/>
                </w:rPr>
                <w:t>Angriff auf MdB Martin Hebner</w:t>
              </w:r>
              <w:r w:rsidR="004E2F84">
                <w:rPr>
                  <w:rStyle w:val="Hyperlink"/>
                  <w:szCs w:val="24"/>
                </w:rPr>
                <w:tab/>
                <w:t>6</w:t>
              </w:r>
            </w:hyperlink>
          </w:p>
        </w:tc>
      </w:tr>
      <w:tr w:rsidR="004E2F84" w:rsidRPr="005833DD" w:rsidTr="001F3CDA">
        <w:tc>
          <w:tcPr>
            <w:tcW w:w="5000" w:type="pct"/>
          </w:tcPr>
          <w:p w:rsidR="004E2F84" w:rsidRDefault="004E2F84" w:rsidP="004E2F84">
            <w:pPr>
              <w:pStyle w:val="LTVerzDerFragenden"/>
            </w:pPr>
            <w:r>
              <w:t>Schuberl, Toni (BÜNDNIS 90/DIE GRÜNEN)</w:t>
            </w:r>
          </w:p>
        </w:tc>
      </w:tr>
      <w:tr w:rsidR="004E2F84" w:rsidRPr="005833DD" w:rsidTr="001F3CDA">
        <w:tc>
          <w:tcPr>
            <w:tcW w:w="5000" w:type="pct"/>
          </w:tcPr>
          <w:p w:rsidR="004E2F84" w:rsidRDefault="00E37EF0" w:rsidP="004E2F84">
            <w:pPr>
              <w:pStyle w:val="LTVerzDerFragendenFrage"/>
            </w:pPr>
            <w:hyperlink w:anchor="Frage_Nr_14" w:tooltip="Frage Nr 14" w:history="1">
              <w:r w:rsidR="004E2F84">
                <w:rPr>
                  <w:rStyle w:val="Hyperlink"/>
                  <w:szCs w:val="24"/>
                </w:rPr>
                <w:t>Infrastrukturgesetz zur Erleichterung von Streckenreaktivierungen</w:t>
              </w:r>
              <w:r w:rsidR="004E2F84">
                <w:rPr>
                  <w:rStyle w:val="Hyperlink"/>
                  <w:szCs w:val="24"/>
                </w:rPr>
                <w:tab/>
                <w:t>14</w:t>
              </w:r>
            </w:hyperlink>
          </w:p>
        </w:tc>
      </w:tr>
      <w:tr w:rsidR="004E2F84" w:rsidRPr="005833DD" w:rsidTr="001F3CDA">
        <w:tc>
          <w:tcPr>
            <w:tcW w:w="5000" w:type="pct"/>
          </w:tcPr>
          <w:p w:rsidR="004E2F84" w:rsidRDefault="004E2F84" w:rsidP="004E2F84">
            <w:pPr>
              <w:pStyle w:val="LTVerzDerFragenden"/>
            </w:pPr>
            <w:r>
              <w:t>Schuhknecht, Stephanie (BÜNDNIS 90/DIE GRÜNEN)</w:t>
            </w:r>
          </w:p>
        </w:tc>
      </w:tr>
      <w:tr w:rsidR="004E2F84" w:rsidRPr="005833DD" w:rsidTr="001F3CDA">
        <w:tc>
          <w:tcPr>
            <w:tcW w:w="5000" w:type="pct"/>
          </w:tcPr>
          <w:p w:rsidR="004E2F84" w:rsidRDefault="00E37EF0" w:rsidP="004E2F84">
            <w:pPr>
              <w:pStyle w:val="LTVerzDerFragendenFrage"/>
            </w:pPr>
            <w:hyperlink w:anchor="Frage_Nr_26" w:tooltip="Frage Nr 26" w:history="1">
              <w:r w:rsidR="004E2F84">
                <w:rPr>
                  <w:rStyle w:val="Hyperlink"/>
                  <w:szCs w:val="24"/>
                </w:rPr>
                <w:t>Grundschullehrkräfte an anderen Schularten</w:t>
              </w:r>
              <w:r w:rsidR="004E2F84">
                <w:rPr>
                  <w:rStyle w:val="Hyperlink"/>
                  <w:szCs w:val="24"/>
                </w:rPr>
                <w:tab/>
                <w:t>26</w:t>
              </w:r>
            </w:hyperlink>
          </w:p>
        </w:tc>
      </w:tr>
      <w:tr w:rsidR="004E2F84" w:rsidRPr="005833DD" w:rsidTr="001F3CDA">
        <w:tc>
          <w:tcPr>
            <w:tcW w:w="5000" w:type="pct"/>
          </w:tcPr>
          <w:p w:rsidR="004E2F84" w:rsidRDefault="004E2F84" w:rsidP="004E2F84">
            <w:pPr>
              <w:pStyle w:val="LTVerzDerFragenden"/>
            </w:pPr>
            <w:r>
              <w:t>Schulze, Katharina (BÜNDNIS 90/DIE GRÜNEN)</w:t>
            </w:r>
          </w:p>
        </w:tc>
      </w:tr>
      <w:tr w:rsidR="004E2F84" w:rsidRPr="005833DD" w:rsidTr="001F3CDA">
        <w:tc>
          <w:tcPr>
            <w:tcW w:w="5000" w:type="pct"/>
          </w:tcPr>
          <w:p w:rsidR="004E2F84" w:rsidRDefault="00E37EF0" w:rsidP="004E2F84">
            <w:pPr>
              <w:pStyle w:val="LTVerzDerFragendenFrage"/>
            </w:pPr>
            <w:hyperlink w:anchor="Frage_Nr_7" w:tooltip="Frage Nr 7" w:history="1">
              <w:r w:rsidR="004E2F84">
                <w:rPr>
                  <w:rStyle w:val="Hyperlink"/>
                  <w:szCs w:val="24"/>
                </w:rPr>
                <w:t>Attentat Würzburg</w:t>
              </w:r>
              <w:r w:rsidR="004E2F84">
                <w:rPr>
                  <w:rStyle w:val="Hyperlink"/>
                  <w:szCs w:val="24"/>
                </w:rPr>
                <w:tab/>
                <w:t>7</w:t>
              </w:r>
            </w:hyperlink>
          </w:p>
        </w:tc>
      </w:tr>
      <w:tr w:rsidR="004E2F84" w:rsidRPr="005833DD" w:rsidTr="001F3CDA">
        <w:tc>
          <w:tcPr>
            <w:tcW w:w="5000" w:type="pct"/>
          </w:tcPr>
          <w:p w:rsidR="004E2F84" w:rsidRDefault="004E2F84" w:rsidP="004E2F84">
            <w:pPr>
              <w:pStyle w:val="LTVerzDerFragenden"/>
            </w:pPr>
            <w:r>
              <w:t>Schuster, Stefan (SPD)</w:t>
            </w:r>
          </w:p>
        </w:tc>
      </w:tr>
      <w:tr w:rsidR="004E2F84" w:rsidRPr="005833DD" w:rsidTr="001F3CDA">
        <w:tc>
          <w:tcPr>
            <w:tcW w:w="5000" w:type="pct"/>
          </w:tcPr>
          <w:p w:rsidR="004E2F84" w:rsidRDefault="00E37EF0" w:rsidP="004E2F84">
            <w:pPr>
              <w:pStyle w:val="LTVerzDerFragendenFrage"/>
            </w:pPr>
            <w:hyperlink w:anchor="Frage_Nr_69" w:tooltip="Frage Nr 69" w:history="1">
              <w:r w:rsidR="004E2F84">
                <w:rPr>
                  <w:rStyle w:val="Hyperlink"/>
                  <w:szCs w:val="24"/>
                </w:rPr>
                <w:t>Kreuzimpfungen für Menschen unter 60 Jahren</w:t>
              </w:r>
              <w:r w:rsidR="004E2F84">
                <w:rPr>
                  <w:rStyle w:val="Hyperlink"/>
                  <w:szCs w:val="24"/>
                </w:rPr>
                <w:tab/>
                <w:t>69</w:t>
              </w:r>
            </w:hyperlink>
          </w:p>
        </w:tc>
      </w:tr>
      <w:tr w:rsidR="004E2F84" w:rsidRPr="005833DD" w:rsidTr="001F3CDA">
        <w:tc>
          <w:tcPr>
            <w:tcW w:w="5000" w:type="pct"/>
          </w:tcPr>
          <w:p w:rsidR="004E2F84" w:rsidRDefault="004E2F84" w:rsidP="004E2F84">
            <w:pPr>
              <w:pStyle w:val="LTVerzDerFragenden"/>
            </w:pPr>
            <w:r>
              <w:t>Schwamberger, Anna (BÜNDNIS 90/DIE GRÜNEN)</w:t>
            </w:r>
          </w:p>
        </w:tc>
      </w:tr>
      <w:tr w:rsidR="004E2F84" w:rsidRPr="005833DD" w:rsidTr="001F3CDA">
        <w:tc>
          <w:tcPr>
            <w:tcW w:w="5000" w:type="pct"/>
          </w:tcPr>
          <w:p w:rsidR="004E2F84" w:rsidRDefault="00E37EF0" w:rsidP="004E2F84">
            <w:pPr>
              <w:pStyle w:val="LTVerzDerFragendenFrage"/>
            </w:pPr>
            <w:hyperlink w:anchor="Frage_Nr_27" w:tooltip="Frage Nr 27" w:history="1">
              <w:r w:rsidR="004E2F84">
                <w:rPr>
                  <w:rStyle w:val="Hyperlink"/>
                  <w:szCs w:val="24"/>
                </w:rPr>
                <w:t xml:space="preserve">Aktuelle Einstellungszahlen von Lehrkräften an Grund-, Mittel- und </w:t>
              </w:r>
              <w:r w:rsidR="00E404BB">
                <w:rPr>
                  <w:rStyle w:val="Hyperlink"/>
                  <w:szCs w:val="24"/>
                </w:rPr>
                <w:br/>
              </w:r>
              <w:r w:rsidR="004E2F84">
                <w:rPr>
                  <w:rStyle w:val="Hyperlink"/>
                  <w:szCs w:val="24"/>
                </w:rPr>
                <w:t>Förderschulen</w:t>
              </w:r>
              <w:r w:rsidR="004E2F84">
                <w:rPr>
                  <w:rStyle w:val="Hyperlink"/>
                  <w:szCs w:val="24"/>
                </w:rPr>
                <w:tab/>
                <w:t>27</w:t>
              </w:r>
            </w:hyperlink>
          </w:p>
        </w:tc>
      </w:tr>
      <w:tr w:rsidR="004E2F84" w:rsidRPr="005833DD" w:rsidTr="001F3CDA">
        <w:tc>
          <w:tcPr>
            <w:tcW w:w="5000" w:type="pct"/>
          </w:tcPr>
          <w:p w:rsidR="004E2F84" w:rsidRDefault="004E2F84" w:rsidP="004E2F84">
            <w:pPr>
              <w:pStyle w:val="LTVerzDerFragenden"/>
            </w:pPr>
            <w:r>
              <w:t>Sengl, Gisela (BÜNDNIS 90/DIE GRÜNEN)</w:t>
            </w:r>
          </w:p>
        </w:tc>
      </w:tr>
      <w:tr w:rsidR="004E2F84" w:rsidRPr="005833DD" w:rsidTr="001F3CDA">
        <w:tc>
          <w:tcPr>
            <w:tcW w:w="5000" w:type="pct"/>
          </w:tcPr>
          <w:p w:rsidR="004E2F84" w:rsidRDefault="00E37EF0" w:rsidP="004E2F84">
            <w:pPr>
              <w:pStyle w:val="LTVerzDerFragendenFrage"/>
            </w:pPr>
            <w:hyperlink w:anchor="Frage_Nr_52" w:tooltip="Frage Nr 52" w:history="1">
              <w:r w:rsidR="004E2F84">
                <w:rPr>
                  <w:rStyle w:val="Hyperlink"/>
                  <w:szCs w:val="24"/>
                </w:rPr>
                <w:t>Feldtafeln</w:t>
              </w:r>
              <w:r w:rsidR="004E2F84">
                <w:rPr>
                  <w:rStyle w:val="Hyperlink"/>
                  <w:szCs w:val="24"/>
                </w:rPr>
                <w:tab/>
                <w:t>52</w:t>
              </w:r>
            </w:hyperlink>
          </w:p>
        </w:tc>
      </w:tr>
      <w:tr w:rsidR="004E2F84" w:rsidRPr="005833DD" w:rsidTr="001F3CDA">
        <w:tc>
          <w:tcPr>
            <w:tcW w:w="5000" w:type="pct"/>
          </w:tcPr>
          <w:p w:rsidR="004E2F84" w:rsidRDefault="004E2F84" w:rsidP="004E2F84">
            <w:pPr>
              <w:pStyle w:val="LTVerzDerFragenden"/>
            </w:pPr>
            <w:r>
              <w:t>Siekmann, Florian (BÜNDNIS 90/DIE GRÜNEN)</w:t>
            </w:r>
          </w:p>
        </w:tc>
      </w:tr>
      <w:tr w:rsidR="004E2F84" w:rsidRPr="005833DD" w:rsidTr="001F3CDA">
        <w:tc>
          <w:tcPr>
            <w:tcW w:w="5000" w:type="pct"/>
          </w:tcPr>
          <w:p w:rsidR="004E2F84" w:rsidRDefault="00E37EF0" w:rsidP="004E2F84">
            <w:pPr>
              <w:pStyle w:val="LTVerzDerFragendenFrage"/>
            </w:pPr>
            <w:hyperlink w:anchor="Frage_Nr_45" w:tooltip="Frage Nr 45" w:history="1">
              <w:r w:rsidR="004E2F84">
                <w:rPr>
                  <w:rStyle w:val="Hyperlink"/>
                  <w:szCs w:val="24"/>
                </w:rPr>
                <w:t>Beteiligung von Bayern Kapital an GNA Biosolutions</w:t>
              </w:r>
              <w:r w:rsidR="004E2F84">
                <w:rPr>
                  <w:rStyle w:val="Hyperlink"/>
                  <w:szCs w:val="24"/>
                </w:rPr>
                <w:tab/>
                <w:t>45</w:t>
              </w:r>
            </w:hyperlink>
          </w:p>
        </w:tc>
      </w:tr>
      <w:tr w:rsidR="004E2F84" w:rsidRPr="005833DD" w:rsidTr="001F3CDA">
        <w:tc>
          <w:tcPr>
            <w:tcW w:w="5000" w:type="pct"/>
          </w:tcPr>
          <w:p w:rsidR="004E2F84" w:rsidRDefault="004E2F84" w:rsidP="004E2F84">
            <w:pPr>
              <w:pStyle w:val="LTVerzDerFragenden"/>
            </w:pPr>
            <w:r>
              <w:t>Singer, Ulrich (AfD)</w:t>
            </w:r>
          </w:p>
        </w:tc>
      </w:tr>
      <w:tr w:rsidR="004E2F84" w:rsidRPr="005833DD" w:rsidTr="001F3CDA">
        <w:tc>
          <w:tcPr>
            <w:tcW w:w="5000" w:type="pct"/>
          </w:tcPr>
          <w:p w:rsidR="004E2F84" w:rsidRDefault="00E37EF0" w:rsidP="004E2F84">
            <w:pPr>
              <w:pStyle w:val="LTVerzDerFragendenFrage"/>
            </w:pPr>
            <w:hyperlink w:anchor="Frage_Nr_17" w:tooltip="Frage Nr 17" w:history="1">
              <w:r w:rsidR="004E2F84">
                <w:rPr>
                  <w:rStyle w:val="Hyperlink"/>
                  <w:szCs w:val="24"/>
                </w:rPr>
                <w:t>Mutmaßlicher Messermörder von Würzburg</w:t>
              </w:r>
              <w:r w:rsidR="004E2F84">
                <w:rPr>
                  <w:rStyle w:val="Hyperlink"/>
                  <w:szCs w:val="24"/>
                </w:rPr>
                <w:tab/>
                <w:t>17</w:t>
              </w:r>
            </w:hyperlink>
          </w:p>
        </w:tc>
      </w:tr>
      <w:tr w:rsidR="004E2F84" w:rsidRPr="005833DD" w:rsidTr="001F3CDA">
        <w:tc>
          <w:tcPr>
            <w:tcW w:w="5000" w:type="pct"/>
          </w:tcPr>
          <w:p w:rsidR="004E2F84" w:rsidRDefault="004E2F84" w:rsidP="004E2F84">
            <w:pPr>
              <w:pStyle w:val="LTVerzDerFragenden"/>
            </w:pPr>
            <w:r>
              <w:t>Skutella, Christoph (FDP)</w:t>
            </w:r>
          </w:p>
        </w:tc>
      </w:tr>
      <w:tr w:rsidR="004E2F84" w:rsidRPr="005833DD" w:rsidTr="001F3CDA">
        <w:tc>
          <w:tcPr>
            <w:tcW w:w="5000" w:type="pct"/>
          </w:tcPr>
          <w:p w:rsidR="004E2F84" w:rsidRDefault="00E37EF0" w:rsidP="004E2F84">
            <w:pPr>
              <w:pStyle w:val="LTVerzDerFragendenFrage"/>
            </w:pPr>
            <w:hyperlink w:anchor="Frage_Nr_53" w:tooltip="Frage Nr 53" w:history="1">
              <w:r w:rsidR="00BD5052">
                <w:rPr>
                  <w:rStyle w:val="Hyperlink"/>
                  <w:szCs w:val="24"/>
                </w:rPr>
                <w:t>Umbau Nutztierhaltung –</w:t>
              </w:r>
              <w:r w:rsidR="004E2F84">
                <w:rPr>
                  <w:rStyle w:val="Hyperlink"/>
                  <w:szCs w:val="24"/>
                </w:rPr>
                <w:t xml:space="preserve"> Finanzierung über staatliche Verträge</w:t>
              </w:r>
              <w:r w:rsidR="004E2F84">
                <w:rPr>
                  <w:rStyle w:val="Hyperlink"/>
                  <w:szCs w:val="24"/>
                </w:rPr>
                <w:tab/>
                <w:t>53</w:t>
              </w:r>
            </w:hyperlink>
          </w:p>
        </w:tc>
      </w:tr>
      <w:tr w:rsidR="004E2F84" w:rsidRPr="005833DD" w:rsidTr="001F3CDA">
        <w:tc>
          <w:tcPr>
            <w:tcW w:w="5000" w:type="pct"/>
          </w:tcPr>
          <w:p w:rsidR="004E2F84" w:rsidRDefault="004E2F84" w:rsidP="004E2F84">
            <w:pPr>
              <w:pStyle w:val="LTVerzDerFragenden"/>
            </w:pPr>
            <w:r>
              <w:t>Dr. Spitzer, Dominik (FDP)</w:t>
            </w:r>
          </w:p>
        </w:tc>
      </w:tr>
      <w:tr w:rsidR="004E2F84" w:rsidRPr="005833DD" w:rsidTr="001F3CDA">
        <w:tc>
          <w:tcPr>
            <w:tcW w:w="5000" w:type="pct"/>
          </w:tcPr>
          <w:p w:rsidR="004E2F84" w:rsidRDefault="00E37EF0" w:rsidP="004E2F84">
            <w:pPr>
              <w:pStyle w:val="LTVerzDerFragendenFrage"/>
            </w:pPr>
            <w:hyperlink w:anchor="Frage_Nr_70" w:tooltip="Frage Nr 70" w:history="1">
              <w:r w:rsidR="004E2F84">
                <w:rPr>
                  <w:rStyle w:val="Hyperlink"/>
                  <w:szCs w:val="24"/>
                </w:rPr>
                <w:t>Impfbereitschaft in Bayern</w:t>
              </w:r>
              <w:r w:rsidR="004E2F84">
                <w:rPr>
                  <w:rStyle w:val="Hyperlink"/>
                  <w:szCs w:val="24"/>
                </w:rPr>
                <w:tab/>
                <w:t>70</w:t>
              </w:r>
            </w:hyperlink>
          </w:p>
        </w:tc>
      </w:tr>
      <w:tr w:rsidR="004E2F84" w:rsidRPr="005833DD" w:rsidTr="001F3CDA">
        <w:tc>
          <w:tcPr>
            <w:tcW w:w="5000" w:type="pct"/>
          </w:tcPr>
          <w:p w:rsidR="004E2F84" w:rsidRDefault="004E2F84" w:rsidP="004E2F84">
            <w:pPr>
              <w:pStyle w:val="LTVerzDerFragenden"/>
            </w:pPr>
            <w:r>
              <w:t>Stachowitz, Diana (SPD)</w:t>
            </w:r>
          </w:p>
        </w:tc>
      </w:tr>
      <w:tr w:rsidR="004E2F84" w:rsidRPr="005833DD" w:rsidTr="001F3CDA">
        <w:tc>
          <w:tcPr>
            <w:tcW w:w="5000" w:type="pct"/>
          </w:tcPr>
          <w:p w:rsidR="004E2F84" w:rsidRDefault="00E37EF0" w:rsidP="004E2F84">
            <w:pPr>
              <w:pStyle w:val="LTVerzDerFragendenFrage"/>
            </w:pPr>
            <w:hyperlink w:anchor="Frage_Nr_8" w:tooltip="Frage Nr 8" w:history="1">
              <w:r w:rsidR="004E2F84">
                <w:rPr>
                  <w:rStyle w:val="Hyperlink"/>
                  <w:szCs w:val="24"/>
                </w:rPr>
                <w:t>Schwimmflächen bereitstellen</w:t>
              </w:r>
              <w:r w:rsidR="004E2F84">
                <w:rPr>
                  <w:rStyle w:val="Hyperlink"/>
                  <w:szCs w:val="24"/>
                </w:rPr>
                <w:tab/>
                <w:t>8</w:t>
              </w:r>
            </w:hyperlink>
          </w:p>
        </w:tc>
      </w:tr>
      <w:tr w:rsidR="004E2F84" w:rsidRPr="005833DD" w:rsidTr="001F3CDA">
        <w:tc>
          <w:tcPr>
            <w:tcW w:w="5000" w:type="pct"/>
          </w:tcPr>
          <w:p w:rsidR="004E2F84" w:rsidRDefault="004E2F84" w:rsidP="004E2F84">
            <w:pPr>
              <w:pStyle w:val="LTVerzDerFragenden"/>
            </w:pPr>
            <w:r>
              <w:t>Steinberger, Rosi (BÜNDNIS 90/DIE GRÜNEN)</w:t>
            </w:r>
          </w:p>
        </w:tc>
      </w:tr>
      <w:tr w:rsidR="004E2F84" w:rsidRPr="005833DD" w:rsidTr="001F3CDA">
        <w:tc>
          <w:tcPr>
            <w:tcW w:w="5000" w:type="pct"/>
          </w:tcPr>
          <w:p w:rsidR="004E2F84" w:rsidRDefault="00E37EF0" w:rsidP="004E2F84">
            <w:pPr>
              <w:pStyle w:val="LTVerzDerFragendenFrage"/>
            </w:pPr>
            <w:hyperlink w:anchor="Frage_Nr_28" w:tooltip="Frage Nr 28" w:history="1">
              <w:r w:rsidR="004E2F84">
                <w:rPr>
                  <w:rStyle w:val="Hyperlink"/>
                  <w:szCs w:val="24"/>
                </w:rPr>
                <w:t>Mobile Reserve</w:t>
              </w:r>
              <w:r w:rsidR="004E2F84">
                <w:rPr>
                  <w:rStyle w:val="Hyperlink"/>
                  <w:szCs w:val="24"/>
                </w:rPr>
                <w:tab/>
                <w:t>28</w:t>
              </w:r>
            </w:hyperlink>
          </w:p>
        </w:tc>
      </w:tr>
      <w:tr w:rsidR="004E2F84" w:rsidRPr="005833DD" w:rsidTr="001F3CDA">
        <w:tc>
          <w:tcPr>
            <w:tcW w:w="5000" w:type="pct"/>
          </w:tcPr>
          <w:p w:rsidR="004E2F84" w:rsidRDefault="004E2F84" w:rsidP="004E2F84">
            <w:pPr>
              <w:pStyle w:val="LTVerzDerFragenden"/>
            </w:pPr>
            <w:r>
              <w:t>Dr. Strohmayr, Simone (SPD)</w:t>
            </w:r>
          </w:p>
        </w:tc>
      </w:tr>
      <w:tr w:rsidR="004E2F84" w:rsidRPr="005833DD" w:rsidTr="001F3CDA">
        <w:tc>
          <w:tcPr>
            <w:tcW w:w="5000" w:type="pct"/>
          </w:tcPr>
          <w:p w:rsidR="004E2F84" w:rsidRDefault="00E37EF0" w:rsidP="004E2F84">
            <w:pPr>
              <w:pStyle w:val="LTVerzDerFragendenFrage"/>
            </w:pPr>
            <w:hyperlink w:anchor="Frage_Nr_29" w:tooltip="Frage Nr 29" w:history="1">
              <w:r w:rsidR="004E2F84">
                <w:rPr>
                  <w:rStyle w:val="Hyperlink"/>
                  <w:szCs w:val="24"/>
                </w:rPr>
                <w:t>Corona-Aufholpaket für private Schulträger</w:t>
              </w:r>
              <w:r w:rsidR="004E2F84">
                <w:rPr>
                  <w:rStyle w:val="Hyperlink"/>
                  <w:szCs w:val="24"/>
                </w:rPr>
                <w:tab/>
                <w:t>29</w:t>
              </w:r>
            </w:hyperlink>
          </w:p>
        </w:tc>
      </w:tr>
      <w:tr w:rsidR="004E2F84" w:rsidRPr="005833DD" w:rsidTr="001F3CDA">
        <w:tc>
          <w:tcPr>
            <w:tcW w:w="5000" w:type="pct"/>
          </w:tcPr>
          <w:p w:rsidR="004E2F84" w:rsidRDefault="004E2F84" w:rsidP="004E2F84">
            <w:pPr>
              <w:pStyle w:val="LTVerzDerFragenden"/>
            </w:pPr>
            <w:r>
              <w:t>Stümpfig, Martin (BÜNDNIS 90/DIE GRÜNEN)</w:t>
            </w:r>
          </w:p>
        </w:tc>
      </w:tr>
      <w:tr w:rsidR="004E2F84" w:rsidRPr="005833DD" w:rsidTr="001F3CDA">
        <w:tc>
          <w:tcPr>
            <w:tcW w:w="5000" w:type="pct"/>
          </w:tcPr>
          <w:p w:rsidR="004E2F84" w:rsidRDefault="00E37EF0" w:rsidP="004E2F84">
            <w:pPr>
              <w:pStyle w:val="LTVerzDerFragendenFrage"/>
            </w:pPr>
            <w:hyperlink w:anchor="Frage_Nr_46" w:tooltip="Frage Nr 46" w:history="1">
              <w:r w:rsidR="004E2F84">
                <w:rPr>
                  <w:rStyle w:val="Hyperlink"/>
                  <w:szCs w:val="24"/>
                </w:rPr>
                <w:t>Windoffensive der Staatsregierung 2021</w:t>
              </w:r>
              <w:r w:rsidR="004E2F84">
                <w:rPr>
                  <w:rStyle w:val="Hyperlink"/>
                  <w:szCs w:val="24"/>
                </w:rPr>
                <w:tab/>
                <w:t>46</w:t>
              </w:r>
            </w:hyperlink>
          </w:p>
        </w:tc>
      </w:tr>
      <w:tr w:rsidR="004E2F84" w:rsidRPr="005833DD" w:rsidTr="001F3CDA">
        <w:tc>
          <w:tcPr>
            <w:tcW w:w="5000" w:type="pct"/>
          </w:tcPr>
          <w:p w:rsidR="004E2F84" w:rsidRDefault="002126F5" w:rsidP="004E2F84">
            <w:pPr>
              <w:pStyle w:val="LTVerzDerFragenden"/>
            </w:pPr>
            <w:r>
              <w:t>Ta</w:t>
            </w:r>
            <w:r>
              <w:rPr>
                <w:rFonts w:cs="Arial"/>
              </w:rPr>
              <w:t>ş</w:t>
            </w:r>
            <w:r w:rsidR="004E2F84">
              <w:t>delen, Arif (SPD)</w:t>
            </w:r>
          </w:p>
        </w:tc>
      </w:tr>
      <w:tr w:rsidR="004E2F84" w:rsidRPr="005833DD" w:rsidTr="001F3CDA">
        <w:tc>
          <w:tcPr>
            <w:tcW w:w="5000" w:type="pct"/>
          </w:tcPr>
          <w:p w:rsidR="004E2F84" w:rsidRDefault="00E37EF0" w:rsidP="004E2F84">
            <w:pPr>
              <w:pStyle w:val="LTVerzDerFragendenFrage"/>
            </w:pPr>
            <w:hyperlink w:anchor="Frage_Nr_40" w:tooltip="Frage Nr 40" w:history="1">
              <w:r w:rsidR="004E2F84">
                <w:rPr>
                  <w:rStyle w:val="Hyperlink"/>
                  <w:szCs w:val="24"/>
                </w:rPr>
                <w:t>Personalausstattung an den Finanzämtern</w:t>
              </w:r>
              <w:r w:rsidR="004E2F84">
                <w:rPr>
                  <w:rStyle w:val="Hyperlink"/>
                  <w:szCs w:val="24"/>
                </w:rPr>
                <w:tab/>
                <w:t>40</w:t>
              </w:r>
            </w:hyperlink>
          </w:p>
        </w:tc>
      </w:tr>
      <w:tr w:rsidR="004E2F84" w:rsidRPr="005833DD" w:rsidTr="001F3CDA">
        <w:tc>
          <w:tcPr>
            <w:tcW w:w="5000" w:type="pct"/>
          </w:tcPr>
          <w:p w:rsidR="004E2F84" w:rsidRDefault="004E2F84" w:rsidP="004E2F84">
            <w:pPr>
              <w:pStyle w:val="LTVerzDerFragenden"/>
            </w:pPr>
            <w:r>
              <w:t>Triebel, Gabriele (BÜNDNIS 90/DIE GRÜNEN)</w:t>
            </w:r>
          </w:p>
        </w:tc>
      </w:tr>
      <w:tr w:rsidR="004E2F84" w:rsidRPr="005833DD" w:rsidTr="001F3CDA">
        <w:tc>
          <w:tcPr>
            <w:tcW w:w="5000" w:type="pct"/>
          </w:tcPr>
          <w:p w:rsidR="004E2F84" w:rsidRDefault="00E37EF0" w:rsidP="00E404BB">
            <w:pPr>
              <w:pStyle w:val="LTVerzDerFragendenFrage"/>
            </w:pPr>
            <w:hyperlink w:anchor="Frage_Nr_47" w:tooltip="Frage Nr 47" w:history="1">
              <w:r w:rsidR="004E2F84">
                <w:rPr>
                  <w:rStyle w:val="Hyperlink"/>
                  <w:szCs w:val="24"/>
                </w:rPr>
                <w:t>Firma Seico, Ansiedlung in Fuchstal, L</w:t>
              </w:r>
              <w:r w:rsidR="00E404BB">
                <w:rPr>
                  <w:rStyle w:val="Hyperlink"/>
                  <w:szCs w:val="24"/>
                </w:rPr>
                <w:t>andkreis</w:t>
              </w:r>
              <w:r w:rsidR="004E2F84">
                <w:rPr>
                  <w:rStyle w:val="Hyperlink"/>
                  <w:szCs w:val="24"/>
                </w:rPr>
                <w:t xml:space="preserve"> Landsberg</w:t>
              </w:r>
              <w:r w:rsidR="004E2F84">
                <w:rPr>
                  <w:rStyle w:val="Hyperlink"/>
                  <w:szCs w:val="24"/>
                </w:rPr>
                <w:tab/>
                <w:t>47</w:t>
              </w:r>
            </w:hyperlink>
          </w:p>
        </w:tc>
      </w:tr>
      <w:tr w:rsidR="004E2F84" w:rsidRPr="005833DD" w:rsidTr="001F3CDA">
        <w:tc>
          <w:tcPr>
            <w:tcW w:w="5000" w:type="pct"/>
          </w:tcPr>
          <w:p w:rsidR="004E2F84" w:rsidRDefault="004E2F84" w:rsidP="004E2F84">
            <w:pPr>
              <w:pStyle w:val="LTVerzDerFragenden"/>
            </w:pPr>
            <w:r>
              <w:t>Urban, Hans (BÜNDNIS 90/DIE GRÜNEN)</w:t>
            </w:r>
          </w:p>
        </w:tc>
      </w:tr>
      <w:tr w:rsidR="004E2F84" w:rsidRPr="005833DD" w:rsidTr="001F3CDA">
        <w:tc>
          <w:tcPr>
            <w:tcW w:w="5000" w:type="pct"/>
          </w:tcPr>
          <w:p w:rsidR="004E2F84" w:rsidRDefault="00E37EF0" w:rsidP="004E2F84">
            <w:pPr>
              <w:pStyle w:val="LTVerzDerFragendenFrage"/>
            </w:pPr>
            <w:hyperlink w:anchor="Frage_Nr_30" w:tooltip="Frage Nr 30" w:history="1">
              <w:r w:rsidR="004E2F84">
                <w:rPr>
                  <w:rStyle w:val="Hyperlink"/>
                  <w:szCs w:val="24"/>
                </w:rPr>
                <w:t>Präsenzunterricht</w:t>
              </w:r>
              <w:r w:rsidR="004E2F84">
                <w:rPr>
                  <w:rStyle w:val="Hyperlink"/>
                  <w:szCs w:val="24"/>
                </w:rPr>
                <w:tab/>
                <w:t>30</w:t>
              </w:r>
            </w:hyperlink>
          </w:p>
        </w:tc>
      </w:tr>
      <w:tr w:rsidR="004E2F84" w:rsidRPr="005833DD" w:rsidTr="001F3CDA">
        <w:tc>
          <w:tcPr>
            <w:tcW w:w="5000" w:type="pct"/>
          </w:tcPr>
          <w:p w:rsidR="004E2F84" w:rsidRDefault="004E2F84" w:rsidP="004E2F84">
            <w:pPr>
              <w:pStyle w:val="LTVerzDerFragenden"/>
            </w:pPr>
            <w:r>
              <w:lastRenderedPageBreak/>
              <w:t>Waldmann, Ruth (SPD)</w:t>
            </w:r>
          </w:p>
        </w:tc>
      </w:tr>
      <w:tr w:rsidR="004E2F84" w:rsidRPr="005833DD" w:rsidTr="001F3CDA">
        <w:tc>
          <w:tcPr>
            <w:tcW w:w="5000" w:type="pct"/>
          </w:tcPr>
          <w:p w:rsidR="004E2F84" w:rsidRDefault="00E37EF0" w:rsidP="004E2F84">
            <w:pPr>
              <w:pStyle w:val="LTVerzDerFragendenFrage"/>
            </w:pPr>
            <w:hyperlink w:anchor="Frage_Nr_31" w:tooltip="Frage Nr 31" w:history="1">
              <w:r w:rsidR="004E2F84">
                <w:rPr>
                  <w:rStyle w:val="Hyperlink"/>
                  <w:szCs w:val="24"/>
                </w:rPr>
                <w:t>Luftfilter an Schulen</w:t>
              </w:r>
              <w:r w:rsidR="004E2F84">
                <w:rPr>
                  <w:rStyle w:val="Hyperlink"/>
                  <w:szCs w:val="24"/>
                </w:rPr>
                <w:tab/>
                <w:t>31</w:t>
              </w:r>
            </w:hyperlink>
          </w:p>
        </w:tc>
      </w:tr>
      <w:tr w:rsidR="004E2F84" w:rsidRPr="005833DD" w:rsidTr="001F3CDA">
        <w:tc>
          <w:tcPr>
            <w:tcW w:w="5000" w:type="pct"/>
          </w:tcPr>
          <w:p w:rsidR="004E2F84" w:rsidRDefault="004E2F84" w:rsidP="004E2F84">
            <w:pPr>
              <w:pStyle w:val="LTVerzDerFragenden"/>
            </w:pPr>
            <w:r>
              <w:t>Dr. Weigand, Sabine (BÜNDNIS 90/DIE GRÜNEN)</w:t>
            </w:r>
          </w:p>
        </w:tc>
      </w:tr>
      <w:tr w:rsidR="004E2F84" w:rsidRPr="005833DD" w:rsidTr="001F3CDA">
        <w:tc>
          <w:tcPr>
            <w:tcW w:w="5000" w:type="pct"/>
          </w:tcPr>
          <w:p w:rsidR="004E2F84" w:rsidRDefault="00E37EF0" w:rsidP="004E2F84">
            <w:pPr>
              <w:pStyle w:val="LTVerzDerFragendenFrage"/>
            </w:pPr>
            <w:hyperlink w:anchor="Frage_Nr_37" w:tooltip="Frage Nr 37" w:history="1">
              <w:r w:rsidR="004E2F84">
                <w:rPr>
                  <w:rStyle w:val="Hyperlink"/>
                  <w:szCs w:val="24"/>
                </w:rPr>
                <w:t>Landesstelle für die nic</w:t>
              </w:r>
              <w:r w:rsidR="00E404BB">
                <w:rPr>
                  <w:rStyle w:val="Hyperlink"/>
                  <w:szCs w:val="24"/>
                </w:rPr>
                <w:t>htstaatlichen Museen in Bayern –</w:t>
              </w:r>
              <w:r w:rsidR="004E2F84">
                <w:rPr>
                  <w:rStyle w:val="Hyperlink"/>
                  <w:szCs w:val="24"/>
                </w:rPr>
                <w:t xml:space="preserve"> Referat für </w:t>
              </w:r>
              <w:r w:rsidR="00E404BB">
                <w:rPr>
                  <w:rStyle w:val="Hyperlink"/>
                  <w:szCs w:val="24"/>
                </w:rPr>
                <w:br/>
              </w:r>
              <w:r w:rsidR="004E2F84">
                <w:rPr>
                  <w:rStyle w:val="Hyperlink"/>
                  <w:szCs w:val="24"/>
                </w:rPr>
                <w:t>jüdische Sammlungen</w:t>
              </w:r>
              <w:r w:rsidR="004E2F84">
                <w:rPr>
                  <w:rStyle w:val="Hyperlink"/>
                  <w:szCs w:val="24"/>
                </w:rPr>
                <w:tab/>
                <w:t>37</w:t>
              </w:r>
            </w:hyperlink>
          </w:p>
        </w:tc>
      </w:tr>
      <w:tr w:rsidR="004E2F84" w:rsidRPr="005833DD" w:rsidTr="001F3CDA">
        <w:tc>
          <w:tcPr>
            <w:tcW w:w="5000" w:type="pct"/>
          </w:tcPr>
          <w:p w:rsidR="004E2F84" w:rsidRDefault="004E2F84" w:rsidP="004E2F84">
            <w:pPr>
              <w:pStyle w:val="LTVerzDerFragenden"/>
            </w:pPr>
            <w:r>
              <w:t>Wild, Margit (SPD)</w:t>
            </w:r>
          </w:p>
        </w:tc>
      </w:tr>
      <w:tr w:rsidR="004E2F84" w:rsidRPr="005833DD" w:rsidTr="001F3CDA">
        <w:tc>
          <w:tcPr>
            <w:tcW w:w="5000" w:type="pct"/>
          </w:tcPr>
          <w:p w:rsidR="004E2F84" w:rsidRDefault="00E37EF0" w:rsidP="004E2F84">
            <w:pPr>
              <w:pStyle w:val="LTVerzDerFragendenFrage"/>
            </w:pPr>
            <w:hyperlink w:anchor="Frage_Nr_32" w:tooltip="Frage Nr 32" w:history="1">
              <w:r w:rsidR="004E2F84">
                <w:rPr>
                  <w:rStyle w:val="Hyperlink"/>
                  <w:szCs w:val="24"/>
                </w:rPr>
                <w:t>Personalgewinnung für den Ganztag</w:t>
              </w:r>
              <w:r w:rsidR="004E2F84">
                <w:rPr>
                  <w:rStyle w:val="Hyperlink"/>
                  <w:szCs w:val="24"/>
                </w:rPr>
                <w:tab/>
                <w:t>32</w:t>
              </w:r>
            </w:hyperlink>
          </w:p>
        </w:tc>
      </w:tr>
      <w:tr w:rsidR="004E2F84" w:rsidRPr="005833DD" w:rsidTr="001F3CDA">
        <w:tc>
          <w:tcPr>
            <w:tcW w:w="5000" w:type="pct"/>
          </w:tcPr>
          <w:p w:rsidR="004E2F84" w:rsidRDefault="004E2F84" w:rsidP="004E2F84">
            <w:pPr>
              <w:pStyle w:val="LTVerzDerFragenden"/>
            </w:pPr>
            <w:r>
              <w:t>Winhart, Andreas (AfD)</w:t>
            </w:r>
          </w:p>
        </w:tc>
      </w:tr>
      <w:tr w:rsidR="004E2F84" w:rsidRPr="005833DD" w:rsidTr="001F3CDA">
        <w:tc>
          <w:tcPr>
            <w:tcW w:w="5000" w:type="pct"/>
          </w:tcPr>
          <w:p w:rsidR="004E2F84" w:rsidRDefault="00E37EF0" w:rsidP="004E2F84">
            <w:pPr>
              <w:pStyle w:val="LTVerzDerFragendenFrage"/>
            </w:pPr>
            <w:hyperlink w:anchor="Frage_Nr_33" w:tooltip="Frage Nr 33" w:history="1">
              <w:r w:rsidR="004E2F84">
                <w:rPr>
                  <w:rStyle w:val="Hyperlink"/>
                  <w:szCs w:val="24"/>
                </w:rPr>
                <w:t>Corona-Selbsttests an bayerischen Schulen</w:t>
              </w:r>
              <w:r w:rsidR="004E2F84">
                <w:rPr>
                  <w:rStyle w:val="Hyperlink"/>
                  <w:szCs w:val="24"/>
                </w:rPr>
                <w:tab/>
                <w:t>33</w:t>
              </w:r>
            </w:hyperlink>
          </w:p>
        </w:tc>
      </w:tr>
      <w:tr w:rsidR="004E2F84" w:rsidRPr="005833DD" w:rsidTr="001F3CDA">
        <w:tc>
          <w:tcPr>
            <w:tcW w:w="5000" w:type="pct"/>
          </w:tcPr>
          <w:p w:rsidR="004E2F84" w:rsidRDefault="004E2F84" w:rsidP="004E2F84">
            <w:pPr>
              <w:pStyle w:val="LTVerzDerFragenden"/>
            </w:pPr>
            <w:r>
              <w:t>Zwanziger, Christian (BÜNDNIS 90/DIE GRÜNEN)</w:t>
            </w:r>
          </w:p>
        </w:tc>
      </w:tr>
      <w:tr w:rsidR="004E2F84" w:rsidRPr="005833DD" w:rsidTr="001F3CDA">
        <w:tc>
          <w:tcPr>
            <w:tcW w:w="5000" w:type="pct"/>
          </w:tcPr>
          <w:p w:rsidR="004E2F84" w:rsidRDefault="00E37EF0" w:rsidP="004E2F84">
            <w:pPr>
              <w:pStyle w:val="LTVerzDerFragendenFrage"/>
            </w:pPr>
            <w:hyperlink w:anchor="Frage_Nr_34" w:tooltip="Frage Nr 34" w:history="1">
              <w:r w:rsidR="004E2F84">
                <w:rPr>
                  <w:rStyle w:val="Hyperlink"/>
                  <w:szCs w:val="24"/>
                </w:rPr>
                <w:t>Vorkurse Deutsch in Kindertageseinrichtungen und Grundschulen</w:t>
              </w:r>
              <w:r w:rsidR="004E2F84">
                <w:rPr>
                  <w:rStyle w:val="Hyperlink"/>
                  <w:szCs w:val="24"/>
                </w:rPr>
                <w:tab/>
                <w:t>34</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4E2F84" w:rsidP="004E2F84">
      <w:pPr>
        <w:pStyle w:val="LTUeberschrRessort"/>
      </w:pPr>
      <w:bookmarkStart w:id="2" w:name="FragenNachGeschBereichen"/>
      <w:bookmarkEnd w:id="2"/>
      <w:r>
        <w:lastRenderedPageBreak/>
        <w:t>Geschäftsbereich der Staatskanzlei</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103AF" w:rsidTr="007103AF">
        <w:tc>
          <w:tcPr>
            <w:tcW w:w="1852" w:type="dxa"/>
          </w:tcPr>
          <w:p w:rsidR="007103AF" w:rsidRDefault="007103AF" w:rsidP="007103AF">
            <w:pPr>
              <w:pStyle w:val="LTAnfrageInitiator"/>
            </w:pPr>
            <w:r>
              <w:t>Abgeordneter</w:t>
            </w:r>
            <w:r>
              <w:rPr>
                <w:b/>
              </w:rPr>
              <w:br/>
              <w:t>Martin</w:t>
            </w:r>
            <w:r>
              <w:rPr>
                <w:b/>
              </w:rPr>
              <w:br/>
              <w:t>Hagen</w:t>
            </w:r>
            <w:r>
              <w:rPr>
                <w:b/>
              </w:rPr>
              <w:br/>
            </w:r>
            <w:r>
              <w:t>(FDP)</w:t>
            </w:r>
            <w:bookmarkStart w:id="3" w:name="Frage_Nr_1"/>
            <w:bookmarkEnd w:id="3"/>
          </w:p>
        </w:tc>
        <w:tc>
          <w:tcPr>
            <w:tcW w:w="5764" w:type="dxa"/>
          </w:tcPr>
          <w:p w:rsidR="007103AF" w:rsidRPr="007103AF" w:rsidRDefault="007103AF" w:rsidP="007103AF">
            <w:pPr>
              <w:pStyle w:val="LTAnfrageText"/>
            </w:pPr>
            <w:r w:rsidRPr="007103AF">
              <w:t>Vor dem Hintergrund des am 08.10.2020 gefassten Beschlusses des Antrags „Lehren aus Corona: Schulterschluss zwischen Exekutive und Legislative im Kampf gegen Corona sicherstellen“ mit der Drs. 18/10270 frage ich die Staatsregierung, wie sich die Arbeit des Gremiums seitdem gestaltet hat, inwiefern die Umsetzun</w:t>
            </w:r>
            <w:r w:rsidR="00BD5052">
              <w:t>g des Beschlusses erfolgte, als</w:t>
            </w:r>
            <w:r w:rsidRPr="007103AF">
              <w:t xml:space="preserve"> das Gremium „eng mit dem Parlament zusammenarbeiten und dieses hierzu engmaschig über seine Empfehlungen informieren und selbige fortlaufend zur Diskussion stellen“ solle und welche Empfehlungen es zuletzt durch das Gremium zur Corona-Strategie gab?</w:t>
            </w:r>
          </w:p>
        </w:tc>
        <w:tc>
          <w:tcPr>
            <w:tcW w:w="5764" w:type="dxa"/>
          </w:tcPr>
          <w:p w:rsidR="007103AF" w:rsidRDefault="007103AF" w:rsidP="007103AF">
            <w:pPr>
              <w:pStyle w:val="LTAnfrageText"/>
            </w:pPr>
          </w:p>
        </w:tc>
      </w:tr>
    </w:tbl>
    <w:p w:rsidR="004E2F84" w:rsidRDefault="004E2F84" w:rsidP="004E2F84">
      <w:pPr>
        <w:pStyle w:val="LTUeberschrAntwortRessort"/>
      </w:pPr>
      <w:r>
        <w:t>Antwort der Staatskanzlei</w:t>
      </w:r>
    </w:p>
    <w:p w:rsidR="004E2F84" w:rsidRDefault="004155C2" w:rsidP="004E2F84">
      <w:pPr>
        <w:pStyle w:val="LTAntwortRessortText"/>
      </w:pPr>
      <w:r>
        <w:t>Es wird auf die Drs.</w:t>
      </w:r>
      <w:r w:rsidR="004E2F84">
        <w:t xml:space="preserve"> 18/16238 verwiesen.</w:t>
      </w:r>
    </w:p>
    <w:p w:rsidR="004E2F84" w:rsidRDefault="004E2F84">
      <w:bookmarkStart w:id="4" w:name="Frage_Nr_1_Ende"/>
      <w:bookmarkEnd w:id="4"/>
      <w:r>
        <w:br w:type="page"/>
      </w:r>
    </w:p>
    <w:p w:rsidR="004E2F84" w:rsidRDefault="004E2F84" w:rsidP="004E2F84">
      <w:pPr>
        <w:pStyle w:val="LTUeberschrRessort"/>
      </w:pPr>
      <w:r>
        <w:lastRenderedPageBreak/>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E17E40" w:rsidTr="00E17E40">
        <w:tc>
          <w:tcPr>
            <w:tcW w:w="1900" w:type="dxa"/>
          </w:tcPr>
          <w:p w:rsidR="00E17E40" w:rsidRDefault="00E17E40" w:rsidP="00E17E40">
            <w:pPr>
              <w:pStyle w:val="LTAnfrageInitiator"/>
            </w:pPr>
            <w:r>
              <w:t>Abgeordneter</w:t>
            </w:r>
            <w:r>
              <w:rPr>
                <w:b/>
              </w:rPr>
              <w:br/>
              <w:t>Cemal</w:t>
            </w:r>
            <w:r>
              <w:rPr>
                <w:b/>
              </w:rPr>
              <w:br/>
              <w:t>Bozo</w:t>
            </w:r>
            <w:r>
              <w:rPr>
                <w:rFonts w:cs="Arial"/>
                <w:b/>
              </w:rPr>
              <w:t>ğ</w:t>
            </w:r>
            <w:r>
              <w:rPr>
                <w:b/>
              </w:rPr>
              <w:t>lu</w:t>
            </w:r>
            <w:r>
              <w:rPr>
                <w:b/>
              </w:rPr>
              <w:br/>
            </w:r>
            <w:r>
              <w:t>(BÜNDNIS 90/DIE GRÜNEN)</w:t>
            </w:r>
            <w:bookmarkStart w:id="5" w:name="Frage_Nr_2"/>
            <w:bookmarkEnd w:id="5"/>
          </w:p>
        </w:tc>
        <w:tc>
          <w:tcPr>
            <w:tcW w:w="5716" w:type="dxa"/>
          </w:tcPr>
          <w:p w:rsidR="00E17E40" w:rsidRPr="00E17E40" w:rsidRDefault="00E17E40" w:rsidP="00BD5052">
            <w:pPr>
              <w:pStyle w:val="LTAnfrageText"/>
            </w:pPr>
            <w:r w:rsidRPr="00E17E40">
              <w:t>Angesichts der Aussage von Regierungsdirektor</w:t>
            </w:r>
            <w:r w:rsidR="00BD5052">
              <w:t xml:space="preserve"> </w:t>
            </w:r>
            <w:r w:rsidR="00BD5052" w:rsidRPr="00BD5052">
              <w:rPr>
                <w:highlight w:val="black"/>
              </w:rPr>
              <w:t>-</w:t>
            </w:r>
            <w:r w:rsidR="006B5A77">
              <w:rPr>
                <w:highlight w:val="black"/>
              </w:rPr>
              <w:t>-</w:t>
            </w:r>
            <w:r w:rsidR="00BD5052" w:rsidRPr="00BD5052">
              <w:rPr>
                <w:highlight w:val="black"/>
              </w:rPr>
              <w:t>--------------</w:t>
            </w:r>
            <w:r w:rsidRPr="00E17E40">
              <w:t xml:space="preserve">, Abteilungsleiter Rechtsextremismus im Landesamt für Verfassungsschutz (BayLfV), im Prozess gegen die mutmaßliche Rechtsterroristin </w:t>
            </w:r>
            <w:r w:rsidRPr="004155C2">
              <w:rPr>
                <w:highlight w:val="black"/>
              </w:rPr>
              <w:t>--------------</w:t>
            </w:r>
            <w:r w:rsidRPr="00E17E40">
              <w:t xml:space="preserve"> über einen Anwerbeversuch des Landesamts im Februar 2018, frage ich die Staatsregierung, zu welchem Resultat der Anwerbeversuch des BayLfV im Februar 2018 geführt hat, ob sie ausschließen kann, dass </w:t>
            </w:r>
            <w:r w:rsidRPr="004155C2">
              <w:rPr>
                <w:highlight w:val="black"/>
              </w:rPr>
              <w:t>----------------</w:t>
            </w:r>
            <w:r w:rsidRPr="00E17E40">
              <w:t xml:space="preserve"> jemals für bayerische Sicherheitsbehörden als Informantin oder V-Person tätig war und ob </w:t>
            </w:r>
            <w:r w:rsidRPr="004155C2">
              <w:rPr>
                <w:highlight w:val="black"/>
              </w:rPr>
              <w:t>----------------</w:t>
            </w:r>
            <w:r w:rsidRPr="00E17E40">
              <w:t xml:space="preserve"> angesichts der engen Kontakte zu verurteilten Unterstützern des NSU von den bayerischen Sicherheitsbehörden bereits als „Gefähr</w:t>
            </w:r>
            <w:r w:rsidR="00E404BB">
              <w:t>-</w:t>
            </w:r>
            <w:r w:rsidR="00E404BB">
              <w:br/>
            </w:r>
            <w:r w:rsidRPr="00E17E40">
              <w:t>derin“ eingestuft wurde? </w:t>
            </w:r>
          </w:p>
        </w:tc>
        <w:tc>
          <w:tcPr>
            <w:tcW w:w="5716"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Die Staatsregierung kann sich im Rahmen einer Anfrage zum Plenum generell nicht zu Fragen operativer Angelegenheiten der Sicherheitsbehörden äuß</w:t>
      </w:r>
      <w:r w:rsidR="00DE199D">
        <w:t>ern. Zur Frage der V-Mann-Eigen</w:t>
      </w:r>
      <w:r>
        <w:t xml:space="preserve">schaft </w:t>
      </w:r>
      <w:r w:rsidR="00E404BB">
        <w:t xml:space="preserve">(V-Mann = Verbindungsperson der Polizei) </w:t>
      </w:r>
      <w:r>
        <w:t>konkreter Einzelpersonen ist somit ganz allgemein wed</w:t>
      </w:r>
      <w:r w:rsidR="00DE199D">
        <w:t>er eine Bestätigung noch ein De</w:t>
      </w:r>
      <w:r>
        <w:t>menti möglich. Die Geheimhaltungsbedürftigkeit ergibt si</w:t>
      </w:r>
      <w:r w:rsidR="00DE199D">
        <w:t>ch aus dem Umstand, dass andern</w:t>
      </w:r>
      <w:r>
        <w:t>falls eine konkrete Gefahr für Leib und Leben einzelner V</w:t>
      </w:r>
      <w:r w:rsidR="00DE199D">
        <w:t>-Personen erwachsen bzw. die Er</w:t>
      </w:r>
      <w:r>
        <w:t>kenntnislage der Verfassungsschutzbehörden beeinträchtigt werden kann.</w:t>
      </w:r>
    </w:p>
    <w:p w:rsidR="004E2F84" w:rsidRDefault="004E2F84" w:rsidP="004E2F84">
      <w:pPr>
        <w:pStyle w:val="LTAntwortRessortText"/>
      </w:pPr>
      <w:r>
        <w:t xml:space="preserve">Die Einstufung von Personen als Gefährder bzw. Relevante </w:t>
      </w:r>
      <w:r w:rsidR="00DE199D">
        <w:t>Personen aus dem Bereich der Po</w:t>
      </w:r>
      <w:r>
        <w:t>litisch motivierten Kriminalität erfolgt unter Berücksichtig der</w:t>
      </w:r>
      <w:r w:rsidR="00DE199D">
        <w:t xml:space="preserve"> bundesweit einheitlichen Richt</w:t>
      </w:r>
      <w:r>
        <w:t>linien aus dem Bereich des Polizeilichen Staatsschutzes. Diese Richtlinien werden stetig fortgeschrieben.</w:t>
      </w:r>
    </w:p>
    <w:p w:rsidR="004E2F84" w:rsidRDefault="004E2F84" w:rsidP="004E2F84">
      <w:pPr>
        <w:pStyle w:val="LTAntwortRessortText"/>
      </w:pPr>
      <w:r>
        <w:t>Die Gefährdungsbewertungen erfolgen einzelfallbezogen jeweils unter Zugrundenahme alle</w:t>
      </w:r>
      <w:r w:rsidR="00CF74CD">
        <w:t>r</w:t>
      </w:r>
      <w:r>
        <w:t xml:space="preserve"> vorhandenen Informationen und unter Einbindung der betro</w:t>
      </w:r>
      <w:r w:rsidR="00DE199D">
        <w:t>ffenen Sicherheitsbehörden. Kon</w:t>
      </w:r>
      <w:r>
        <w:t>krete Aussagen zu einzelnen Fällen können aus Gründen der Geheimhaltung nicht gegeben</w:t>
      </w:r>
      <w:r w:rsidR="00DE199D">
        <w:t xml:space="preserve"> </w:t>
      </w:r>
      <w:r>
        <w:t>werden. Jedoch dürfen wir Ihnen versichern, dass die Bayerische</w:t>
      </w:r>
      <w:r w:rsidR="00DE199D">
        <w:t xml:space="preserve"> Polizei alle rechtlich und tat</w:t>
      </w:r>
      <w:r>
        <w:t xml:space="preserve">sächlich möglichen Maßnahmen ergreift, um insbesondere </w:t>
      </w:r>
      <w:r w:rsidR="00DE199D">
        <w:t>gegen den Rechtsextremismus kon</w:t>
      </w:r>
      <w:r>
        <w:t>sequent vorzugehen.</w:t>
      </w:r>
    </w:p>
    <w:p w:rsidR="004E2F84" w:rsidRDefault="004E2F84">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7E40" w:rsidTr="00E17E40">
        <w:tc>
          <w:tcPr>
            <w:tcW w:w="1883" w:type="dxa"/>
          </w:tcPr>
          <w:p w:rsidR="00E17E40" w:rsidRDefault="00E17E40" w:rsidP="00E17E40">
            <w:pPr>
              <w:pStyle w:val="LTAnfrageInitiator"/>
            </w:pPr>
            <w:r>
              <w:lastRenderedPageBreak/>
              <w:t>Abgeordnete</w:t>
            </w:r>
            <w:r>
              <w:rPr>
                <w:b/>
              </w:rPr>
              <w:br/>
              <w:t>Gülseren</w:t>
            </w:r>
            <w:r>
              <w:rPr>
                <w:b/>
              </w:rPr>
              <w:br/>
              <w:t>Demirel</w:t>
            </w:r>
            <w:r>
              <w:rPr>
                <w:b/>
              </w:rPr>
              <w:br/>
            </w:r>
            <w:r>
              <w:t>(BÜNDNIS 90/DIE GRÜNEN)</w:t>
            </w:r>
            <w:bookmarkStart w:id="7" w:name="Frage_Nr_3"/>
            <w:bookmarkEnd w:id="7"/>
          </w:p>
        </w:tc>
        <w:tc>
          <w:tcPr>
            <w:tcW w:w="5733" w:type="dxa"/>
          </w:tcPr>
          <w:p w:rsidR="00E17E40" w:rsidRPr="00762CAF" w:rsidRDefault="00E17E40" w:rsidP="00762CAF">
            <w:pPr>
              <w:pStyle w:val="LTAnfrageText"/>
            </w:pPr>
            <w:r w:rsidRPr="00762CAF">
              <w:t>Ich frage die Staatsregierung, wie der Stand ist beim Vergabeverfahren, welches die Beauftragung eines externen Dienstleisters zum Gegenstand hat, um die Gemeinschaftsunterkünfte für Geflüchtete in Bayern mit Internet, idealerweise WLAN, auszustatten (bitte den genauen Zeitpunkt der Umsetzung benennen), wie viele Gemeinschaftsunterkünfte im Bereich der Anschlussunterbringung sind mit WLAN ausgestattet und wie viele nicht (bitte nach Orte und Regierungsbezirke auflisten)?</w:t>
            </w:r>
          </w:p>
        </w:tc>
        <w:tc>
          <w:tcPr>
            <w:tcW w:w="5733"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Mit Schreiben vom 28. Juni 2021 erteilte die Zentrale Vergabestelle der Regierung von Oberbayern den Zuschlag für die ausgeschriebene Rahmenvereinbarung über Beratungs- und Unterstützungsleistungen für die Unterbringungsverwaltung und ggf. nichtstaatliche Dritte für die Schaffung von Internetzugängen in den Asylunterkünften in Bayern. Also nicht nur für die staatlichen Gemeinschaftsunterkünfte.</w:t>
      </w:r>
    </w:p>
    <w:p w:rsidR="004E2F84" w:rsidRDefault="004E2F84" w:rsidP="00602F44">
      <w:pPr>
        <w:pStyle w:val="LTAntwortRessortText"/>
        <w:spacing w:before="0"/>
      </w:pPr>
      <w:r>
        <w:t>Die Leistungspflicht begann am 1. Juli 2021. Unser Informationsschreiben an die Regierungen, die kommunalen Betreiber von Asylunterkünften sowie nicht</w:t>
      </w:r>
      <w:r w:rsidR="00DE199D">
        <w:t>staatliche Dritte werden voraus</w:t>
      </w:r>
      <w:r>
        <w:t>sichtlich im Laufe der 27. KW versendet.</w:t>
      </w:r>
    </w:p>
    <w:p w:rsidR="004E2F84" w:rsidRDefault="004E2F84" w:rsidP="004E2F84">
      <w:pPr>
        <w:pStyle w:val="LTAntwortRessortText"/>
      </w:pPr>
      <w:r>
        <w:t>Den Ausstattungsgrad der Gemeinschaftsunterkünfte mit WLAN hat das Staatsministerium des Innern, für Sport und Integration mit Stand 31. Mai 2021 be</w:t>
      </w:r>
      <w:r w:rsidR="00DE199D">
        <w:t>i den Regierungen abgefragt. Da</w:t>
      </w:r>
      <w:r>
        <w:t>nach verfügte rund die Hälfte der Gemeinschaftsunterkünfte über WLAN. In der zur Verfügung stehenden Zeit ist eine Aktualisierung der Daten ausdif</w:t>
      </w:r>
      <w:r w:rsidR="00DE199D">
        <w:t>ferenziert nach Regierungsbezir</w:t>
      </w:r>
      <w:r>
        <w:t>ken und Orten nicht möglich.</w:t>
      </w:r>
    </w:p>
    <w:p w:rsidR="004E2F84" w:rsidRDefault="004E2F84">
      <w:bookmarkStart w:id="8" w:name="Frage_Nr_3_Ende"/>
      <w:bookmarkEnd w:id="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E17E40" w:rsidTr="00E17E40">
        <w:tc>
          <w:tcPr>
            <w:tcW w:w="1840" w:type="dxa"/>
          </w:tcPr>
          <w:p w:rsidR="00E17E40" w:rsidRDefault="00E17E40" w:rsidP="00E17E40">
            <w:pPr>
              <w:pStyle w:val="LTAnfrageInitiator"/>
            </w:pPr>
            <w:r>
              <w:lastRenderedPageBreak/>
              <w:t>Abgeordnete</w:t>
            </w:r>
            <w:r>
              <w:rPr>
                <w:b/>
              </w:rPr>
              <w:br/>
              <w:t>Katrin</w:t>
            </w:r>
            <w:r>
              <w:rPr>
                <w:b/>
              </w:rPr>
              <w:br/>
              <w:t>Ebner-Steiner</w:t>
            </w:r>
            <w:r>
              <w:rPr>
                <w:b/>
              </w:rPr>
              <w:br/>
            </w:r>
            <w:r>
              <w:t>(AfD)</w:t>
            </w:r>
            <w:bookmarkStart w:id="9" w:name="Frage_Nr_4"/>
            <w:bookmarkEnd w:id="9"/>
          </w:p>
        </w:tc>
        <w:tc>
          <w:tcPr>
            <w:tcW w:w="5776" w:type="dxa"/>
          </w:tcPr>
          <w:p w:rsidR="00E17E40" w:rsidRPr="00762CAF" w:rsidRDefault="00E17E40" w:rsidP="00F9545F">
            <w:pPr>
              <w:pStyle w:val="LTAnfrageText"/>
            </w:pPr>
            <w:r w:rsidRPr="00762CAF">
              <w:t>Vor dem Hintergrund, dass beim Gruppenendspiel der Fußball-E</w:t>
            </w:r>
            <w:r w:rsidR="00F9545F">
              <w:t>uropameisterschaft</w:t>
            </w:r>
            <w:r w:rsidRPr="00762CAF">
              <w:t xml:space="preserve"> am 23. Juni 2021 in München während des Gesanges der Nationalhymne der Ungarn eine Person mit Regenbogenfahne auf das Spielfeld gerannt ist und die ungarischen Spieler provoziert hat, frage ich die Staatsregierung, in welcher Form Ermittlungen seitens bayerischer Behörden aufgrund der Störaktion eingeleitet wurden, welche organisatorischen Mängel seitens der beteiligten Sicherheits- und Ordnungskräfte identifiziert werden konnten (insbesondere angesichts der massiven Polizeipräsenz) und welche Konsequenzen sich aus Sicht der Staatsregierung für die Gewährleistung künftiger Spiele ergeben?</w:t>
            </w:r>
          </w:p>
        </w:tc>
        <w:tc>
          <w:tcPr>
            <w:tcW w:w="5776"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Für die Sicherheit innerhalb der Veranstaltungsfläche ist grunds</w:t>
      </w:r>
      <w:r w:rsidR="00DE199D">
        <w:t>ätzlich der Veranstalter zustän</w:t>
      </w:r>
      <w:r>
        <w:t>dig. Die zur Unterstützung des Veranstalters bei der Durchführung seiner Aufgaben im Stadion anwesenden polizeilichen Einsatzkräfte wurden umgehend hinzugezogen.</w:t>
      </w:r>
    </w:p>
    <w:p w:rsidR="004E2F84" w:rsidRDefault="004E2F84" w:rsidP="004E2F84">
      <w:pPr>
        <w:pStyle w:val="LTAntwortRessortText"/>
      </w:pPr>
      <w:r>
        <w:t>Gegen die Person wurde ein strafrechtliches Ermittlungsverf</w:t>
      </w:r>
      <w:r w:rsidR="00DE199D">
        <w:t>ahren zum Tatvorwurf eines Haus</w:t>
      </w:r>
      <w:r>
        <w:t xml:space="preserve">friedensbruchs gem. § 123 </w:t>
      </w:r>
      <w:r w:rsidR="00E404BB">
        <w:t xml:space="preserve">Strafgesetzbuch </w:t>
      </w:r>
      <w:r>
        <w:t>eingeleitet. Das Verfahren ist noch nicht abgeschlossen.</w:t>
      </w:r>
    </w:p>
    <w:p w:rsidR="004E2F84" w:rsidRDefault="004E2F84" w:rsidP="004E2F84">
      <w:pPr>
        <w:pStyle w:val="LTAntwortRessortText"/>
      </w:pPr>
      <w:r>
        <w:t xml:space="preserve">Der Vorfall wird im Zuge der Nachbereitung der </w:t>
      </w:r>
      <w:r w:rsidR="00C67AD3" w:rsidRPr="00C84F2D">
        <w:t>Union der Europäischen Fußballverbände</w:t>
      </w:r>
      <w:r w:rsidR="00E404BB">
        <w:t xml:space="preserve"> (</w:t>
      </w:r>
      <w:r>
        <w:t>UEFA</w:t>
      </w:r>
      <w:r w:rsidR="00E404BB">
        <w:t>)</w:t>
      </w:r>
      <w:r>
        <w:t xml:space="preserve"> EURO 2020 vom Polizeipräsidium München aufgearbeitet. Erforderlichenfalls wird das Sicherheitskonzept auf der Grundlage der Ergebnisse der Nachbereitung angepasst.</w:t>
      </w:r>
    </w:p>
    <w:p w:rsidR="004E2F84" w:rsidRDefault="004E2F84">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7E40" w:rsidTr="00E17E40">
        <w:tc>
          <w:tcPr>
            <w:tcW w:w="1883" w:type="dxa"/>
          </w:tcPr>
          <w:p w:rsidR="00E17E40" w:rsidRDefault="00E17E40" w:rsidP="00E17E40">
            <w:pPr>
              <w:pStyle w:val="LTAnfrageInitiator"/>
            </w:pPr>
            <w:r>
              <w:lastRenderedPageBreak/>
              <w:t>Abgeordneter</w:t>
            </w:r>
            <w:r>
              <w:rPr>
                <w:b/>
              </w:rPr>
              <w:br/>
              <w:t>Tim</w:t>
            </w:r>
            <w:r>
              <w:rPr>
                <w:b/>
              </w:rPr>
              <w:br/>
              <w:t>Pargent</w:t>
            </w:r>
            <w:r>
              <w:rPr>
                <w:b/>
              </w:rPr>
              <w:br/>
            </w:r>
            <w:r>
              <w:t>(BÜNDNIS 90/DIE GRÜNEN)</w:t>
            </w:r>
            <w:bookmarkStart w:id="11" w:name="Frage_Nr_5"/>
            <w:bookmarkEnd w:id="11"/>
          </w:p>
        </w:tc>
        <w:tc>
          <w:tcPr>
            <w:tcW w:w="5733" w:type="dxa"/>
          </w:tcPr>
          <w:p w:rsidR="00E17E40" w:rsidRPr="00762CAF" w:rsidRDefault="00E17E40" w:rsidP="00762CAF">
            <w:pPr>
              <w:pStyle w:val="LTAnfrageText"/>
            </w:pPr>
            <w:r w:rsidRPr="00762CAF">
              <w:t>Ich frage die Staatsregierung, inwiefern die Einsatzfähigkeit der Einzahlungslimitsdatei nach dem Glücksspielstaatsvertrag (GlüStV) 2021 (gültig seit 1. Juli 2021) gewährleistet ist (bitte unter Angabe, wie die Ausnahmen vom Einzahlungslimit nach § 27f in der Datei abgebildet werden), wie die Auswahl der Spielerinnen und Spieler getroffen wird, für die eine Ausnahme des Einzahlungslimits gilt, und wie sie die Einhaltung der geltenden Rechtslage sicherstellt? </w:t>
            </w:r>
          </w:p>
        </w:tc>
        <w:tc>
          <w:tcPr>
            <w:tcW w:w="5733"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 xml:space="preserve">Ab dem 1. Juli 2021 erfolgt die </w:t>
      </w:r>
      <w:r w:rsidRPr="00602F44">
        <w:rPr>
          <w:u w:val="single"/>
        </w:rPr>
        <w:t>Überwachung</w:t>
      </w:r>
      <w:r>
        <w:t xml:space="preserve"> des Online-Glücksspielmarktes in Deutschland durch informationstechnische Systeme. Der Anschluss an diese Systeme ist für Anbieter von Glücksspielen im Internet verpflichtend. Zur Überwachung de</w:t>
      </w:r>
      <w:r w:rsidR="00DE199D">
        <w:t>s anbieterübergreifenden Einzah</w:t>
      </w:r>
      <w:r>
        <w:t>lungslimits wird eine zentrale Datei (</w:t>
      </w:r>
      <w:r w:rsidRPr="00602F44">
        <w:rPr>
          <w:u w:val="single"/>
        </w:rPr>
        <w:t>Limitdatei gem. § 6c GlüStV 2021</w:t>
      </w:r>
      <w:r>
        <w:t>) geführt.</w:t>
      </w:r>
    </w:p>
    <w:p w:rsidR="004E2F84" w:rsidRDefault="004E2F84" w:rsidP="004E2F84">
      <w:pPr>
        <w:pStyle w:val="LTAntwortRessortText"/>
      </w:pPr>
      <w:r>
        <w:t xml:space="preserve">Die </w:t>
      </w:r>
      <w:r w:rsidRPr="00602F44">
        <w:rPr>
          <w:u w:val="single"/>
        </w:rPr>
        <w:t>Betriebsbereitschaft</w:t>
      </w:r>
      <w:r>
        <w:t xml:space="preserve"> der Limitdatei wurde zum 1</w:t>
      </w:r>
      <w:r w:rsidR="00DE199D">
        <w:t>. Juli 2021 hergestellt. Die Lim</w:t>
      </w:r>
      <w:r>
        <w:t>itdatei wird zunächst ab 1. Juli 2021 vom Landesverwaltungsamt Sachsen-Anhalt und ab 1. Januar 2023 von der Gemeinsamen Glücksspielbehörde der Länder verwaltet und von Dataport, als Die</w:t>
      </w:r>
      <w:r w:rsidR="00DE199D">
        <w:t>nst</w:t>
      </w:r>
      <w:r>
        <w:t>leister der öffentlichen Verwaltung des Landes Sachsen-Anhalt, betrieben.</w:t>
      </w:r>
    </w:p>
    <w:p w:rsidR="004E2F84" w:rsidRDefault="004E2F84" w:rsidP="004E2F84">
      <w:pPr>
        <w:pStyle w:val="LTAntwortRessortText"/>
      </w:pPr>
      <w:r>
        <w:t>Die Registrierung eines Spielers in der Limitdatei ist für jede</w:t>
      </w:r>
      <w:r w:rsidR="00DE199D">
        <w:t>n Glücksspielanbieter verpflich</w:t>
      </w:r>
      <w:r>
        <w:t>tend und von diesem vorzunehmen, sobald ein Spieler ein Spielkonto eröffnet. Bei de</w:t>
      </w:r>
      <w:r w:rsidR="00DE199D">
        <w:t>r erstma</w:t>
      </w:r>
      <w:r>
        <w:t xml:space="preserve">ligen Registrierung ist die Angabe des durch den Spieler bestimmten anbieterübergreifenden Einzahlungslimits notwendig. In der Limitdatei wird dieses persönliche anbieterübergreifende Einzahlungslimit des Spielenden </w:t>
      </w:r>
      <w:r w:rsidRPr="00602F44">
        <w:rPr>
          <w:u w:val="single"/>
        </w:rPr>
        <w:t>abgebildet</w:t>
      </w:r>
      <w:r>
        <w:t>. Gemäß § 6c Abs. 4 S</w:t>
      </w:r>
      <w:r w:rsidR="00DE199D">
        <w:t>atz 3 GlüStV 2021 sind ne</w:t>
      </w:r>
      <w:r>
        <w:t>ben der Höhe des festgelegten anbieterübergreifenden Einzahlungslimits auch die Daten zur Identifizierung des Spielers, das Datum der getätigten Einzah</w:t>
      </w:r>
      <w:r w:rsidR="00DE199D">
        <w:t>lungen sowie der sich daraus er</w:t>
      </w:r>
      <w:r>
        <w:t>gebende Gesamtbetrag der getätigten Einzahlungen im laufenden Monat zu erfassen. Diese Werte sind zur Prüfung der Einhaltung des Limits erforderlich.</w:t>
      </w:r>
    </w:p>
    <w:p w:rsidR="004E2F84" w:rsidRDefault="004E2F84" w:rsidP="004E2F84">
      <w:pPr>
        <w:pStyle w:val="LTAntwortRessortText"/>
      </w:pPr>
      <w:r>
        <w:t>Gem. § 6c Abs. 1 Satz 2 GlüStV 2021 darf das anbieterübergreifende Einzahlungslimit grundsätzlich</w:t>
      </w:r>
      <w:r w:rsidR="00DE199D">
        <w:t xml:space="preserve"> </w:t>
      </w:r>
      <w:r>
        <w:t xml:space="preserve">1.000 </w:t>
      </w:r>
      <w:r w:rsidR="003F1661">
        <w:t>Euro</w:t>
      </w:r>
      <w:r>
        <w:t xml:space="preserve"> im Monat nicht übersteigen. Ist für einen Spieler kein Einzahlungslimit festgelegt,</w:t>
      </w:r>
      <w:r w:rsidR="00DE199D">
        <w:t xml:space="preserve"> </w:t>
      </w:r>
      <w:r>
        <w:t xml:space="preserve">darf eine Spielteilnahme nicht erfolgen. </w:t>
      </w:r>
      <w:r w:rsidRPr="00602F44">
        <w:rPr>
          <w:u w:val="single"/>
        </w:rPr>
        <w:t>Im Einzelfall</w:t>
      </w:r>
      <w:r>
        <w:t xml:space="preserve"> kann den Veranstaltern zur Erreichung</w:t>
      </w:r>
      <w:r w:rsidR="00DE199D">
        <w:t xml:space="preserve"> </w:t>
      </w:r>
      <w:r>
        <w:t>der Ziele de</w:t>
      </w:r>
      <w:r w:rsidR="00A61AF3">
        <w:t>s § 1 GlüStV 2021 gem. § 6 Abs. </w:t>
      </w:r>
      <w:r>
        <w:t>1 Satz 3 GlüStV 2021 mit anbieterübergreifender</w:t>
      </w:r>
      <w:r w:rsidR="00DE199D">
        <w:t xml:space="preserve"> </w:t>
      </w:r>
      <w:r>
        <w:t xml:space="preserve">Wirkung </w:t>
      </w:r>
      <w:r w:rsidRPr="00602F44">
        <w:rPr>
          <w:u w:val="single"/>
        </w:rPr>
        <w:t>Ausnahmen vom Einzahlungslimit</w:t>
      </w:r>
      <w:r>
        <w:t xml:space="preserve"> erlaubt werden.</w:t>
      </w:r>
    </w:p>
    <w:p w:rsidR="004E2F84" w:rsidRDefault="004E2F84" w:rsidP="004E2F84">
      <w:pPr>
        <w:pStyle w:val="LTAntwortRessortText"/>
      </w:pPr>
      <w:r>
        <w:t xml:space="preserve">Für </w:t>
      </w:r>
      <w:r w:rsidRPr="00602F44">
        <w:rPr>
          <w:u w:val="single"/>
        </w:rPr>
        <w:t>virtuelle Automatenspiele</w:t>
      </w:r>
      <w:r>
        <w:t xml:space="preserve"> und Online-Poker i</w:t>
      </w:r>
      <w:r w:rsidR="00A61AF3">
        <w:t>st gem. § 27p Abs. 10 Satz 1 1. </w:t>
      </w:r>
      <w:r>
        <w:t>Hs. GlüStV</w:t>
      </w:r>
      <w:r w:rsidR="00DE199D">
        <w:t xml:space="preserve"> </w:t>
      </w:r>
      <w:r>
        <w:t xml:space="preserve">2021 bis zum 31. Dezember 2022 eine </w:t>
      </w:r>
      <w:r w:rsidRPr="00602F44">
        <w:rPr>
          <w:u w:val="single"/>
        </w:rPr>
        <w:t>Erhöhung</w:t>
      </w:r>
      <w:r>
        <w:t xml:space="preserve"> des anbieterübergreifenden Einzahlungslimits</w:t>
      </w:r>
      <w:r w:rsidR="00DE199D">
        <w:t xml:space="preserve"> </w:t>
      </w:r>
      <w:r w:rsidRPr="00602F44">
        <w:rPr>
          <w:u w:val="single"/>
        </w:rPr>
        <w:t>ausgeschlossen</w:t>
      </w:r>
      <w:r>
        <w:t>.</w:t>
      </w:r>
    </w:p>
    <w:p w:rsidR="004E2F84" w:rsidRDefault="004E2F84" w:rsidP="004E2F84">
      <w:pPr>
        <w:pStyle w:val="LTAntwortRessortText"/>
      </w:pPr>
      <w:r>
        <w:t xml:space="preserve">Veranstaltern von </w:t>
      </w:r>
      <w:r w:rsidRPr="00602F44">
        <w:rPr>
          <w:u w:val="single"/>
        </w:rPr>
        <w:t>Sportwetten und Pferdewetten</w:t>
      </w:r>
      <w:r>
        <w:t xml:space="preserve"> im Internet kann die zuständige Behörde gem.</w:t>
      </w:r>
      <w:r w:rsidR="00DE199D">
        <w:t xml:space="preserve"> </w:t>
      </w:r>
      <w:r>
        <w:t>§ 27p Abs. 10 Satz 3 i.</w:t>
      </w:r>
      <w:r w:rsidR="00DE199D">
        <w:t> </w:t>
      </w:r>
      <w:r>
        <w:t>V.</w:t>
      </w:r>
      <w:r w:rsidR="00DE199D">
        <w:t> </w:t>
      </w:r>
      <w:r w:rsidR="00A61AF3">
        <w:t>m. § 6c Abs.</w:t>
      </w:r>
      <w:r>
        <w:t xml:space="preserve"> 1 Satz 8 GlüStV 2021 einen von 1.000 </w:t>
      </w:r>
      <w:r w:rsidR="003F1661">
        <w:t>Euro</w:t>
      </w:r>
      <w:r>
        <w:t xml:space="preserve"> abweichenden</w:t>
      </w:r>
      <w:r w:rsidR="00DE199D">
        <w:t xml:space="preserve"> </w:t>
      </w:r>
      <w:r>
        <w:t>Höchstbetrag für das monatliche Einsatzlimit festsetzen. Limiterhöhungen in diesem Bereich</w:t>
      </w:r>
      <w:r w:rsidR="00DE199D">
        <w:t xml:space="preserve"> </w:t>
      </w:r>
      <w:r>
        <w:t xml:space="preserve">bis zu 10.000 </w:t>
      </w:r>
      <w:r w:rsidR="003F1661">
        <w:t>Euro</w:t>
      </w:r>
      <w:r>
        <w:t xml:space="preserve"> werden derzeit bei entsprechender wirtschaftlicher Leistungsfähigkeit eines</w:t>
      </w:r>
      <w:r w:rsidR="00DE199D">
        <w:t xml:space="preserve"> </w:t>
      </w:r>
      <w:r>
        <w:t xml:space="preserve">Spielers zugelassen, wobei ein Verlustlimit von maximal 20 </w:t>
      </w:r>
      <w:r w:rsidR="003F1661">
        <w:t>Prozent</w:t>
      </w:r>
      <w:r>
        <w:t xml:space="preserve"> des Einsatzlimits gesetzt</w:t>
      </w:r>
      <w:r w:rsidR="00DE199D">
        <w:t xml:space="preserve"> </w:t>
      </w:r>
      <w:r>
        <w:t>wird und der Veranstalter das Spielverhalten durch ein engmaschiges Monitoring zu kontrollieren</w:t>
      </w:r>
      <w:r w:rsidR="00DE199D">
        <w:t xml:space="preserve"> </w:t>
      </w:r>
      <w:r>
        <w:lastRenderedPageBreak/>
        <w:t xml:space="preserve">hat. Limiterhöhungen auf bis zu maximal 30.000 </w:t>
      </w:r>
      <w:r w:rsidR="003F1661">
        <w:t>Euro</w:t>
      </w:r>
      <w:r>
        <w:t xml:space="preserve"> sind darüber hinaus für nicht mehr als</w:t>
      </w:r>
      <w:r w:rsidR="00DE199D">
        <w:t xml:space="preserve"> </w:t>
      </w:r>
      <w:r>
        <w:t xml:space="preserve">1 </w:t>
      </w:r>
      <w:r w:rsidR="003F1661">
        <w:t>Prozent</w:t>
      </w:r>
      <w:r>
        <w:t xml:space="preserve"> der bei dem jeweiligen Anbieter aktiven Spieler mit einem Mindestalter von 21 Jahren zulässig.</w:t>
      </w:r>
      <w:r w:rsidR="00602F44">
        <w:t xml:space="preserve"> </w:t>
      </w:r>
      <w:r>
        <w:t xml:space="preserve">Es gelten dabei weiter </w:t>
      </w:r>
      <w:r w:rsidRPr="00602F44">
        <w:rPr>
          <w:u w:val="single"/>
        </w:rPr>
        <w:t>verschärfte Kontroll- und Aufklärungspflichten</w:t>
      </w:r>
      <w:r>
        <w:t>. Für die Überprüfung</w:t>
      </w:r>
      <w:r w:rsidR="00DE199D">
        <w:t xml:space="preserve"> </w:t>
      </w:r>
      <w:r>
        <w:t>der wirtschaftlichen Leistungsfähigkeit, das Monitoring bezüglich des Spielverhaltens und</w:t>
      </w:r>
      <w:r w:rsidR="00DE199D">
        <w:t xml:space="preserve"> </w:t>
      </w:r>
      <w:r>
        <w:t>die Aufklärung ist der Veranstalter verantwortlich. Er ist der zuständigen Behörde berichtspflichtig.</w:t>
      </w:r>
    </w:p>
    <w:p w:rsidR="004E2F84" w:rsidRDefault="004E2F84" w:rsidP="004E2F84">
      <w:pPr>
        <w:pStyle w:val="LTAntwortRessortText"/>
      </w:pPr>
      <w:r>
        <w:t>Die Einhaltung der geltenden Rechtslage ist zuvörderst Pflicht des Glücksspielveranstalters,</w:t>
      </w:r>
      <w:r w:rsidR="00DE199D">
        <w:t xml:space="preserve"> </w:t>
      </w:r>
      <w:r>
        <w:t>dann der jeweils zuständigen Glücksspielaufsicht. Der Einfluss des Freistaat</w:t>
      </w:r>
      <w:r w:rsidR="00F9545F">
        <w:t>e</w:t>
      </w:r>
      <w:r>
        <w:t>s Bayern auf die</w:t>
      </w:r>
      <w:r w:rsidR="00DE199D">
        <w:t xml:space="preserve"> </w:t>
      </w:r>
      <w:r>
        <w:t>Glücksspielaufsicht in ländereinheitlichen Verfahren ist bis zum 31. Dezember 2022 über die</w:t>
      </w:r>
      <w:r w:rsidR="00DE199D">
        <w:t xml:space="preserve"> </w:t>
      </w:r>
      <w:r>
        <w:t>Mitgliedschaft im Glücksspielkollegium, danach über den Verwaltungsrat der Gemeinsamen</w:t>
      </w:r>
      <w:r w:rsidR="00DE199D">
        <w:t xml:space="preserve"> </w:t>
      </w:r>
      <w:r>
        <w:t>Glücksspielbehörde gewährleistet.</w:t>
      </w:r>
    </w:p>
    <w:p w:rsidR="004E2F84" w:rsidRDefault="004E2F84">
      <w:bookmarkStart w:id="12" w:name="Frage_Nr_5_Ende"/>
      <w:bookmarkEnd w:id="1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E17E40" w:rsidTr="00E17E40">
        <w:tc>
          <w:tcPr>
            <w:tcW w:w="1856" w:type="dxa"/>
          </w:tcPr>
          <w:p w:rsidR="00E17E40" w:rsidRDefault="00E17E40" w:rsidP="00E17E40">
            <w:pPr>
              <w:pStyle w:val="LTAnfrageInitiator"/>
            </w:pPr>
            <w:r>
              <w:lastRenderedPageBreak/>
              <w:t>Abgeordneter</w:t>
            </w:r>
            <w:r>
              <w:rPr>
                <w:b/>
              </w:rPr>
              <w:br/>
              <w:t>Jan</w:t>
            </w:r>
            <w:r>
              <w:rPr>
                <w:b/>
              </w:rPr>
              <w:br/>
              <w:t>Schiffers</w:t>
            </w:r>
            <w:r>
              <w:rPr>
                <w:b/>
              </w:rPr>
              <w:br/>
            </w:r>
            <w:r>
              <w:t>(AfD)</w:t>
            </w:r>
            <w:bookmarkStart w:id="13" w:name="Frage_Nr_6"/>
            <w:bookmarkEnd w:id="13"/>
          </w:p>
        </w:tc>
        <w:tc>
          <w:tcPr>
            <w:tcW w:w="5760" w:type="dxa"/>
          </w:tcPr>
          <w:p w:rsidR="00E17E40" w:rsidRPr="00762CAF" w:rsidRDefault="00E17E40" w:rsidP="00762CAF">
            <w:pPr>
              <w:pStyle w:val="LTAnfrageText"/>
            </w:pPr>
            <w:r w:rsidRPr="00762CAF">
              <w:t>Ich frage die Staatsregierung, hat sie Kenntnis darüber, dass die zuständige örtliche Polizeidienststelle Herrn Hebner und dessen Familie von der Erstattung einer Anzeige nach einem Angriff mit einem Knüppel durch die Antifa im Frühjahr 2020 abgeraten hat (Offizialdelikt), welche Konsequenzen sind oder werden nun durch die Staatsregierung ergriffen und wird nach dem neuerlichen Angriff (Sachbeschädigung durch Drohungen am Wohnhaus der Familie Hebner) Herrn Hebner, der todkrank ist, und dessen Familie nun Polizeischutz in dieser besonderen Situation gestellt?</w:t>
            </w:r>
          </w:p>
        </w:tc>
        <w:tc>
          <w:tcPr>
            <w:tcW w:w="5760"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Die Fragestellung zielt auf die Offenlegung personenbezogener Daten zu Einzelpersonen ab.</w:t>
      </w:r>
    </w:p>
    <w:p w:rsidR="004E2F84" w:rsidRDefault="004E2F84" w:rsidP="004E2F84">
      <w:pPr>
        <w:pStyle w:val="LTAntwortRessortText"/>
      </w:pPr>
      <w:r>
        <w:t>Die dem parlamentarischen Fragerecht durch die grundrechtl</w:t>
      </w:r>
      <w:r w:rsidR="00DE199D">
        <w:t>ich geschützten Persönlichkeits</w:t>
      </w:r>
      <w:r>
        <w:t>rechte der Betroffenen gesetzten Grenzen (vgl. hierzu BayVerfGH, Entscheidungen vom 11. September 2014, Az.: Vf</w:t>
      </w:r>
      <w:r w:rsidR="00A61AF3">
        <w:t>. 67-IVa-13, Rz. 36 und vom 20. </w:t>
      </w:r>
      <w:r>
        <w:t>März 201</w:t>
      </w:r>
      <w:r w:rsidR="00A61AF3">
        <w:t>4, Az. Vf. 72-IVa-12, Rz. 83f. –</w:t>
      </w:r>
      <w:r>
        <w:t xml:space="preserve"> jeweils mit weiteren Nachweisen) sind daher zu ber</w:t>
      </w:r>
      <w:r w:rsidR="00DE199D">
        <w:t>ücksichtigen. Die gebotene Abwä</w:t>
      </w:r>
      <w:r>
        <w:t xml:space="preserve">gung dieser grundrechtlich geschützten Positionen der Betroffenen mit dem Recht </w:t>
      </w:r>
      <w:r w:rsidR="00DE199D">
        <w:t>der Abge</w:t>
      </w:r>
      <w:r>
        <w:t>ordneten auf umfassende Information ergibt im vorliegenden Fall, dass hier eine Beantwortung nicht statthaft ist. Ein überwiegendes Informationsinteresse</w:t>
      </w:r>
      <w:r w:rsidR="00DE199D">
        <w:t>, das eine Offenlegung von Anga</w:t>
      </w:r>
      <w:r>
        <w:t>ben zu Einzelpersonen rechtfertigt, die für den Fragesteller oder Dritte, denen die Information durch die Drucklegung zugänglich werden, zumindest aufgru</w:t>
      </w:r>
      <w:r w:rsidR="00DE199D">
        <w:t>nd von Zusatzinformationen iden</w:t>
      </w:r>
      <w:r>
        <w:t>tifiziert werden können, ist weder dargelegt noch erkennbar. Im vorliegenden Fall ergeben sich</w:t>
      </w:r>
      <w:r w:rsidR="00DE199D">
        <w:t xml:space="preserve"> </w:t>
      </w:r>
      <w:r>
        <w:t>auch unter Berücksichtigung der vorgesehenen Drucklegung ke</w:t>
      </w:r>
      <w:r w:rsidR="00DE199D">
        <w:t>ine Anhaltspunkte für ein spezi</w:t>
      </w:r>
      <w:r>
        <w:t>fisches, die Schutzrechte der Betroffenen überwiegendes parlamentarisches Kontrollinteresse.</w:t>
      </w:r>
    </w:p>
    <w:p w:rsidR="004E2F84" w:rsidRDefault="004E2F84" w:rsidP="004E2F84">
      <w:pPr>
        <w:pStyle w:val="LTAntwortRessortText"/>
      </w:pPr>
      <w:r>
        <w:t>Grundsätzlich kann jedoch mitgeteilt werden, dass nach Ein</w:t>
      </w:r>
      <w:r w:rsidR="00DE199D">
        <w:t>bindung des zuständigen Polizei</w:t>
      </w:r>
      <w:r>
        <w:t>präsidiums Oberbayern Nord bislang kein Fehlverhalten auf Ba</w:t>
      </w:r>
      <w:r w:rsidR="00DE199D">
        <w:t>sis der vorliegenden Informatio</w:t>
      </w:r>
      <w:r>
        <w:t>nen festgestellt wurde.</w:t>
      </w:r>
    </w:p>
    <w:p w:rsidR="004E2F84" w:rsidRDefault="004E2F84" w:rsidP="004E2F84">
      <w:pPr>
        <w:pStyle w:val="LTAntwortRessortText"/>
      </w:pPr>
      <w:r>
        <w:t>Nachfolgende rechtsstaatlich vorgesehene Kontrollinstrumente, wie</w:t>
      </w:r>
    </w:p>
    <w:p w:rsidR="004E2F84" w:rsidRDefault="004E2F84" w:rsidP="00B650E7">
      <w:pPr>
        <w:pStyle w:val="LTAntwortRessortText"/>
        <w:numPr>
          <w:ilvl w:val="0"/>
          <w:numId w:val="25"/>
        </w:numPr>
        <w:spacing w:before="0"/>
        <w:ind w:left="697" w:hanging="357"/>
      </w:pPr>
      <w:r>
        <w:t>die Dienst- und Fachaufsicht,</w:t>
      </w:r>
    </w:p>
    <w:p w:rsidR="004E2F84" w:rsidRDefault="004E2F84" w:rsidP="00B650E7">
      <w:pPr>
        <w:pStyle w:val="LTAntwortRessortText"/>
        <w:numPr>
          <w:ilvl w:val="0"/>
          <w:numId w:val="25"/>
        </w:numPr>
        <w:spacing w:before="0"/>
        <w:ind w:left="697" w:hanging="357"/>
      </w:pPr>
      <w:r>
        <w:t>die Bearbeitung von Beschwerden und Disziplinarangelegen</w:t>
      </w:r>
      <w:r w:rsidR="00DE199D">
        <w:t>heiten durch juristische Sachbe</w:t>
      </w:r>
      <w:r>
        <w:t>arbeiter,</w:t>
      </w:r>
    </w:p>
    <w:p w:rsidR="004E2F84" w:rsidRDefault="004E2F84" w:rsidP="00B650E7">
      <w:pPr>
        <w:pStyle w:val="LTAntwortRessortText"/>
        <w:numPr>
          <w:ilvl w:val="0"/>
          <w:numId w:val="25"/>
        </w:numPr>
        <w:spacing w:before="0"/>
        <w:ind w:left="697" w:hanging="357"/>
      </w:pPr>
      <w:r>
        <w:t xml:space="preserve">die Ermittlungen bei Amtsdelikten durch kriminalpolizeiliche Fachdienststellen bzw. die Zentralstelle Dezernat 13 des </w:t>
      </w:r>
      <w:r w:rsidR="00A61AF3">
        <w:t>Landeskriminalamts</w:t>
      </w:r>
      <w:r>
        <w:t xml:space="preserve"> </w:t>
      </w:r>
      <w:r w:rsidR="003F1661">
        <w:t>„</w:t>
      </w:r>
      <w:r>
        <w:t>Interne Ermittlungen</w:t>
      </w:r>
      <w:r w:rsidR="003F1661">
        <w:t>“</w:t>
      </w:r>
      <w:r>
        <w:t>,</w:t>
      </w:r>
    </w:p>
    <w:p w:rsidR="004E2F84" w:rsidRDefault="004E2F84" w:rsidP="00B650E7">
      <w:pPr>
        <w:pStyle w:val="LTAntwortRessortText"/>
        <w:numPr>
          <w:ilvl w:val="0"/>
          <w:numId w:val="25"/>
        </w:numPr>
        <w:spacing w:before="0"/>
        <w:ind w:left="697" w:hanging="357"/>
      </w:pPr>
      <w:r>
        <w:t>die Prüfung der Sachverhalte durch Staatsanwaltschaften und unabhängige Gerichte,</w:t>
      </w:r>
    </w:p>
    <w:p w:rsidR="003D5DF9" w:rsidRDefault="004E2F84" w:rsidP="00E404BB">
      <w:pPr>
        <w:pStyle w:val="LTAntwortRessortText"/>
        <w:numPr>
          <w:ilvl w:val="0"/>
          <w:numId w:val="25"/>
        </w:numPr>
        <w:spacing w:before="0"/>
        <w:ind w:left="697" w:hanging="357"/>
      </w:pPr>
      <w:r>
        <w:t>die Kontrolle durch das Innenministerium und das Parlament sowie die Öffentlichkeit</w:t>
      </w:r>
      <w:r w:rsidR="00B650E7">
        <w:t xml:space="preserve"> </w:t>
      </w:r>
    </w:p>
    <w:p w:rsidR="004E2F84" w:rsidRDefault="004E2F84" w:rsidP="003D5DF9">
      <w:pPr>
        <w:pStyle w:val="LTAntwortRessortText"/>
        <w:spacing w:before="0"/>
      </w:pPr>
      <w:r>
        <w:t>sichern eine effektive und transparente Aufarbeitung vorge</w:t>
      </w:r>
      <w:r w:rsidR="00DE199D">
        <w:t>brachter Beschwerden oder Anzei</w:t>
      </w:r>
      <w:r>
        <w:t>gen.</w:t>
      </w:r>
    </w:p>
    <w:p w:rsidR="004E2F84" w:rsidRDefault="004E2F84" w:rsidP="004E2F84">
      <w:pPr>
        <w:pStyle w:val="LTAntwortRessortText"/>
      </w:pPr>
      <w:r>
        <w:lastRenderedPageBreak/>
        <w:t>Ergänzend wird noch auf den Bürgerbeauftragten der Staatsregierung hingewiesen. Dieser ist auch dafür zuständig, Kritik und Hinweise zur Arbeit der Baye</w:t>
      </w:r>
      <w:r w:rsidR="003E7794">
        <w:t>rischen Polizei entgegen</w:t>
      </w:r>
      <w:r w:rsidR="00DE199D">
        <w:t>zuneh</w:t>
      </w:r>
      <w:r>
        <w:t>men.</w:t>
      </w:r>
    </w:p>
    <w:p w:rsidR="004E2F84" w:rsidRDefault="004E2F84" w:rsidP="004E2F84">
      <w:pPr>
        <w:pStyle w:val="LTAntwortRessortText"/>
      </w:pPr>
      <w:r>
        <w:t>Zu polizeilichen Schutzmaßnahmen werden grundsätzlich aus Gründen der Geheimhaltung keine Aussagen getroffen. Entsprechend kann die Frage nicht beantwortet werden.</w:t>
      </w:r>
    </w:p>
    <w:p w:rsidR="004E2F84" w:rsidRDefault="004E2F84">
      <w:bookmarkStart w:id="14" w:name="Frage_Nr_6_Ende"/>
      <w:bookmarkEnd w:id="1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E17E40" w:rsidTr="00E17E40">
        <w:tc>
          <w:tcPr>
            <w:tcW w:w="1894" w:type="dxa"/>
          </w:tcPr>
          <w:p w:rsidR="00E17E40" w:rsidRDefault="00E17E40" w:rsidP="00E17E40">
            <w:pPr>
              <w:pStyle w:val="LTAnfrageInitiator"/>
            </w:pPr>
            <w:r>
              <w:lastRenderedPageBreak/>
              <w:t>Abgeordnete</w:t>
            </w:r>
            <w:r>
              <w:rPr>
                <w:b/>
              </w:rPr>
              <w:br/>
              <w:t>Katharina</w:t>
            </w:r>
            <w:r>
              <w:rPr>
                <w:b/>
              </w:rPr>
              <w:br/>
              <w:t>Schulze</w:t>
            </w:r>
            <w:r>
              <w:rPr>
                <w:b/>
              </w:rPr>
              <w:br/>
            </w:r>
            <w:r>
              <w:t>(BÜNDNIS 90/DIE GRÜNEN)</w:t>
            </w:r>
            <w:bookmarkStart w:id="15" w:name="Frage_Nr_7"/>
            <w:bookmarkEnd w:id="15"/>
          </w:p>
        </w:tc>
        <w:tc>
          <w:tcPr>
            <w:tcW w:w="5722" w:type="dxa"/>
          </w:tcPr>
          <w:p w:rsidR="00E17E40" w:rsidRPr="00762CAF" w:rsidRDefault="00E17E40" w:rsidP="00762CAF">
            <w:pPr>
              <w:pStyle w:val="LTAnfrageText"/>
            </w:pPr>
            <w:r w:rsidRPr="00762CAF">
              <w:t>Ich frage die Staatsregierung, welchen Handlungsbedarf sieht sie nach dem Würzburger Attentat, um eine bessere Zusammenarbeit zwischen Beratungsstellen, Gesundheits- und Sicherheitsbehörden zur Früherkennung potenzieller Gewalttäter und zur Verhinderung möglicher Gewalttaten zu realisieren, sieht sie die Notwendigkeit zu einem Ausbau der psychiatrischen Behandlungskapazitäten und psychosozialen Beratungsangebote für Geflüchtete in Bayern und welche Möglichkeiten der Prävention sieht die Staatsregierung, um solche Taten in Zukunft möglichst zu verhindern?</w:t>
            </w:r>
          </w:p>
        </w:tc>
        <w:tc>
          <w:tcPr>
            <w:tcW w:w="5722"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r w:rsidR="00A61AF3">
        <w:t xml:space="preserve"> im Einvernehmen mit dem Staatsministerium für Gesundheit und Pflege sowie dem Staatsministerium für Familie, Arbeit und Soziales</w:t>
      </w:r>
    </w:p>
    <w:p w:rsidR="004E2F84" w:rsidRDefault="004E2F84" w:rsidP="004E2F84">
      <w:pPr>
        <w:pStyle w:val="LTAntwortRessortText"/>
      </w:pPr>
      <w:r>
        <w:t>Die Staatsregierung wird die Ergebnisse der derzeit noch l</w:t>
      </w:r>
      <w:r w:rsidR="00DE199D">
        <w:t>aufenden Ermittlungen zu den Um</w:t>
      </w:r>
      <w:r>
        <w:t>ständen der Gewalttat in Würzburg dahingehend auswerten, ob daraus Rückschlüsse auf weiteren Handlungsbedarf abgeleitet werden können.</w:t>
      </w:r>
    </w:p>
    <w:p w:rsidR="004E2F84" w:rsidRDefault="004E2F84" w:rsidP="004E2F84">
      <w:pPr>
        <w:pStyle w:val="LTAntwortRessortText"/>
      </w:pPr>
      <w:r>
        <w:t>Darüber hinaus wird auf die Antwort der Staatsregierung vom 9. April 2021 zur Frage 4.2 der Schriftlichen Anfrage der Abgeordneten Katharina Schulze vom 17</w:t>
      </w:r>
      <w:r w:rsidR="00A61AF3">
        <w:t>. </w:t>
      </w:r>
      <w:r>
        <w:t xml:space="preserve">Februar 2021 betreffend </w:t>
      </w:r>
      <w:r w:rsidR="003F1661">
        <w:t>„</w:t>
      </w:r>
      <w:r w:rsidR="00A61AF3">
        <w:t xml:space="preserve">Lehren aus dem OEZ-Attentat </w:t>
      </w:r>
      <w:r w:rsidR="007938C8">
        <w:t xml:space="preserve">(OEZ = Olympia-Einkaufszentrum) </w:t>
      </w:r>
      <w:r w:rsidR="00A61AF3">
        <w:t>–</w:t>
      </w:r>
      <w:r>
        <w:t xml:space="preserve"> Politische Konsequenzen und präventive Maßnahmen der Staatsregierung</w:t>
      </w:r>
      <w:r w:rsidR="003F1661">
        <w:t>“</w:t>
      </w:r>
      <w:r w:rsidR="00A61AF3">
        <w:t xml:space="preserve"> (Drs. 18/15048 vom 5. </w:t>
      </w:r>
      <w:r>
        <w:t>Mai 2021) verwiesen.</w:t>
      </w:r>
    </w:p>
    <w:p w:rsidR="004E2F84" w:rsidRDefault="004E2F84" w:rsidP="004E2F84">
      <w:pPr>
        <w:pStyle w:val="LTAntwortRessortText"/>
      </w:pPr>
      <w:r>
        <w:t>In den letzten Jahren wurde das Phänomen von Personen mit psychischer Erkrankung aus dem islamistischen Spektrum mehrfach in verschiedenen Gremien u</w:t>
      </w:r>
      <w:r w:rsidR="00DE199D">
        <w:t>nd Arbeitsgruppen erörtert, bei</w:t>
      </w:r>
      <w:r>
        <w:t>spielsweise in der A</w:t>
      </w:r>
      <w:r w:rsidR="00A61AF3">
        <w:t>rbeitsgruppe (A</w:t>
      </w:r>
      <w:r>
        <w:t>G</w:t>
      </w:r>
      <w:r w:rsidR="00A61AF3">
        <w:t>)</w:t>
      </w:r>
      <w:r>
        <w:t xml:space="preserve"> BIRGiT (</w:t>
      </w:r>
      <w:r w:rsidR="003F1661">
        <w:t>„</w:t>
      </w:r>
      <w:r>
        <w:t>Beschleunigte Identifizie</w:t>
      </w:r>
      <w:r w:rsidR="00DE199D">
        <w:t>rung und Rückführung von Gefähr</w:t>
      </w:r>
      <w:r>
        <w:t>dern aus dem Bereich des islamistischen Terrorismus bzw. Extremismus</w:t>
      </w:r>
      <w:r w:rsidR="003F1661">
        <w:t>“</w:t>
      </w:r>
      <w:r>
        <w:t>).</w:t>
      </w:r>
    </w:p>
    <w:p w:rsidR="004E2F84" w:rsidRDefault="004E2F84" w:rsidP="004E2F84">
      <w:pPr>
        <w:pStyle w:val="LTAntwortRessortText"/>
      </w:pPr>
      <w:r>
        <w:t xml:space="preserve">Für den Bereich der öffentlich-rechtlichen Unterbringung enthalten das </w:t>
      </w:r>
      <w:r w:rsidR="00A61AF3">
        <w:t>Bayerische Psychisch-Kranken-Hilfe-Gesetz (</w:t>
      </w:r>
      <w:r>
        <w:t>PsychKHG</w:t>
      </w:r>
      <w:r w:rsidR="00A61AF3">
        <w:t>)</w:t>
      </w:r>
      <w:r>
        <w:t xml:space="preserve"> und die hierzu ergangenen Verwaltungsvorschriften bereits ein umfan</w:t>
      </w:r>
      <w:r w:rsidR="00DE199D">
        <w:t>greiches Instrumentarium zur Zu</w:t>
      </w:r>
      <w:r>
        <w:t>sammenarbeit zwischen Kreisverwaltungsbehörden, Krisendiensten, Polizei, Gerichten und Einrichtungen, die öffentlich-rechtlich unterbringen.</w:t>
      </w:r>
    </w:p>
    <w:p w:rsidR="004E2F84" w:rsidRDefault="004E2F84" w:rsidP="004E2F84">
      <w:pPr>
        <w:pStyle w:val="LTAntwortRessortText"/>
      </w:pPr>
      <w:r>
        <w:t>Asylbewerber haben in der Regel Anspruch auf Leistungen</w:t>
      </w:r>
      <w:r w:rsidR="003E7794">
        <w:t xml:space="preserve"> nach dem Asylbewerberleistungs</w:t>
      </w:r>
      <w:r>
        <w:t>gesetz, welche auch medizinische Leistungen umfassen. Zuständig für die Gewährung dieser medizinischen Leistungen ist in Bayern der sog. örtliche Träger, also der Landkreis oder die kreisfreie Stadt. Ob dabei im jeweiligen Einzelfall auch ein</w:t>
      </w:r>
      <w:r w:rsidR="00DE199D">
        <w:t xml:space="preserve"> Anspruch auf Übernahme der Kos</w:t>
      </w:r>
      <w:r>
        <w:t>ten psychologischer Behandlungen besteht, richtet sich nach den b</w:t>
      </w:r>
      <w:r w:rsidR="00DE199D">
        <w:t>undesgesetzlichen Voraus</w:t>
      </w:r>
      <w:r>
        <w:t>setzungen des Asylbewerberleistungsgesetzes.</w:t>
      </w:r>
    </w:p>
    <w:p w:rsidR="004E2F84" w:rsidRDefault="004E2F84" w:rsidP="004E2F84">
      <w:pPr>
        <w:pStyle w:val="LTAntwortRessortText"/>
      </w:pPr>
      <w:r>
        <w:t>Für den Bereich der Einrichtungen, die öffentlich-rechtlich unte</w:t>
      </w:r>
      <w:r w:rsidR="00DE199D">
        <w:t>rbringen, sind in Bayern ausrei</w:t>
      </w:r>
      <w:r>
        <w:t>chende Kapazitäten vorhanden.</w:t>
      </w:r>
    </w:p>
    <w:p w:rsidR="004E2F84" w:rsidRDefault="004E2F84" w:rsidP="004E2F84">
      <w:pPr>
        <w:pStyle w:val="LTAntwortRessortText"/>
      </w:pPr>
      <w:r>
        <w:t>Der zuständige Bundesgesetzgeber hat die Sicherstellung der ambulanten vertragsärztlichen Verso</w:t>
      </w:r>
      <w:r w:rsidR="003E7794">
        <w:t>rgung –</w:t>
      </w:r>
      <w:r>
        <w:t xml:space="preserve"> einschließlich der ambulanten psychiatrischen V</w:t>
      </w:r>
      <w:r w:rsidR="00A61AF3">
        <w:t>ersorgung –</w:t>
      </w:r>
      <w:r w:rsidR="00DE199D">
        <w:t xml:space="preserve"> von gesetzlich kran</w:t>
      </w:r>
      <w:r>
        <w:t>kenversicherten Patientinnen und Patienten in Deutschland den Kassenärztli</w:t>
      </w:r>
      <w:r w:rsidR="00DE199D">
        <w:t>chen Vereinigun</w:t>
      </w:r>
      <w:r>
        <w:t>gen (in Bayern: Kass</w:t>
      </w:r>
      <w:r w:rsidR="00A61AF3">
        <w:t xml:space="preserve">enärztliche Vereinigung </w:t>
      </w:r>
      <w:r w:rsidR="00A61AF3">
        <w:lastRenderedPageBreak/>
        <w:t>Bayern –</w:t>
      </w:r>
      <w:r>
        <w:t xml:space="preserve"> KVB) übertragen. Diese erfüllen ihre Aufgaben als Selbstverwaltungskörperschaften in eigener Zuständigkeit und Verantwortung. Die Bedarfsplanung, in deren Rahmen </w:t>
      </w:r>
      <w:r w:rsidR="003F1661">
        <w:t>u. a.</w:t>
      </w:r>
      <w:r>
        <w:t xml:space="preserve"> die Festlegung getro</w:t>
      </w:r>
      <w:r w:rsidR="00DE199D">
        <w:t>ffen wird, wie viele Ärzte wel</w:t>
      </w:r>
      <w:r>
        <w:t xml:space="preserve">cher Fachrichtungen in einer Region maximal tätig werden </w:t>
      </w:r>
      <w:r w:rsidR="00DE199D">
        <w:t>können, führt die KVB im Einver</w:t>
      </w:r>
      <w:r>
        <w:t>nehmen mit den Landesverbänden der Krankenkassen und den Ersatzkassen aus; sie ist dabei an die verbindlichen Vorgaben des S</w:t>
      </w:r>
      <w:r w:rsidR="00A61AF3">
        <w:t>ozialgesetzbuches Fünftes Buch (S</w:t>
      </w:r>
      <w:r>
        <w:t>GB V</w:t>
      </w:r>
      <w:r w:rsidR="00A61AF3">
        <w:t>)</w:t>
      </w:r>
      <w:r>
        <w:t xml:space="preserve"> sowie der vom </w:t>
      </w:r>
      <w:r w:rsidR="00A61AF3">
        <w:t>Gemeinsamen Bundesausschuss auf</w:t>
      </w:r>
      <w:r>
        <w:t>gestellten Bedarfsplanungsrichtlinie gebunden. Die Staatsregi</w:t>
      </w:r>
      <w:r w:rsidR="00DE199D">
        <w:t>erung hat auf diese Entscheidun</w:t>
      </w:r>
      <w:r>
        <w:t>gen der Bedarfsplanung keinen unmittelbaren Einfluss.</w:t>
      </w:r>
    </w:p>
    <w:p w:rsidR="004E2F84" w:rsidRDefault="004E2F84" w:rsidP="004E2F84">
      <w:pPr>
        <w:pStyle w:val="LTAntwortRessortText"/>
      </w:pPr>
      <w:r>
        <w:t>Soweit es sich bei den in Bezug genommenen Geflüchteten nicht um geset</w:t>
      </w:r>
      <w:r w:rsidR="00DE199D">
        <w:t>zlich krankenversi</w:t>
      </w:r>
      <w:r>
        <w:t>cherte Personen handelt, erfolgt die Sicherstellung der medizinischen Versorgung nicht durch die KVB. Soweit es sich bei diesem Personenkreis um Asylbew</w:t>
      </w:r>
      <w:r w:rsidR="00DE199D">
        <w:t>erber handelt, erfolgt die medi</w:t>
      </w:r>
      <w:r>
        <w:t>zinische Versorgung vielmehr grundsätzlich nach den Vorga</w:t>
      </w:r>
      <w:r w:rsidR="00DE199D">
        <w:t>ben des Asylbewerberleistungsge</w:t>
      </w:r>
      <w:r>
        <w:t>setzes durch die jeweiligen Asylbewerberleistungsbehörden.</w:t>
      </w:r>
    </w:p>
    <w:p w:rsidR="004E2F84" w:rsidRDefault="004E2F84" w:rsidP="004E2F84">
      <w:pPr>
        <w:pStyle w:val="LTAntwortRessortText"/>
      </w:pPr>
      <w:r>
        <w:t>In Zusammenarbeit mit den Bezirken, denen der Sicherstellung</w:t>
      </w:r>
      <w:r w:rsidR="00DE199D">
        <w:t>sauftrag für die stationäre psy</w:t>
      </w:r>
      <w:r>
        <w:t>chiatrische Versorgung obliegt, konnten die voll- und teilstationären Behandlungsangebote in der Fachrichtung Psychiatrie und Psychotherapie (PSY) in den</w:t>
      </w:r>
      <w:r w:rsidR="00DE199D">
        <w:t xml:space="preserve"> letzten Jahren in allen bayeri</w:t>
      </w:r>
      <w:r>
        <w:t>schen Regierungsbezirken massiv ausgebaut werden.</w:t>
      </w:r>
    </w:p>
    <w:p w:rsidR="004E2F84" w:rsidRDefault="004E2F84" w:rsidP="004E2F84">
      <w:pPr>
        <w:pStyle w:val="LTAntwortRessortText"/>
      </w:pPr>
      <w:r>
        <w:t xml:space="preserve">Standen zur stationären Versorgung in Bayern am </w:t>
      </w:r>
      <w:r w:rsidR="00A61AF3">
        <w:t>1. Januar 2011 noch insgesamt 6 </w:t>
      </w:r>
      <w:r>
        <w:t>466 Betten und 781 Plätze zur Verfügung, sind es se</w:t>
      </w:r>
      <w:r w:rsidR="00A61AF3">
        <w:t>it dem 1. Januar 2021 bereits 7 328 Betten und 1 </w:t>
      </w:r>
      <w:r>
        <w:t xml:space="preserve">437 Plätze. Die Kapazitäten in Bayern wurden also in den letzten 10 Jahren um insgesamt 13 </w:t>
      </w:r>
      <w:r w:rsidR="003F1661">
        <w:t>Prozent</w:t>
      </w:r>
      <w:r>
        <w:t xml:space="preserve"> (Betten) und 84 </w:t>
      </w:r>
      <w:r w:rsidR="003F1661">
        <w:t>Prozent</w:t>
      </w:r>
      <w:r>
        <w:t xml:space="preserve"> (Plätze) ausgebaut. Weitere 162 Betten und 202 Plätze s</w:t>
      </w:r>
      <w:r w:rsidR="00DE199D">
        <w:t>ind bereits zusätz</w:t>
      </w:r>
      <w:r>
        <w:t>lich genehmigt, aber noch nicht in Betrieb. Im Übrigen liege</w:t>
      </w:r>
      <w:r w:rsidR="00DE199D">
        <w:t>n aktuell keine Anträge von Trä</w:t>
      </w:r>
      <w:r w:rsidR="00B64621">
        <w:t>gern zur –</w:t>
      </w:r>
      <w:r>
        <w:t xml:space="preserve"> über die bereits zusä</w:t>
      </w:r>
      <w:r w:rsidR="00B64621">
        <w:t>tzlich genehmigten Kapazitäten</w:t>
      </w:r>
      <w:r>
        <w:t xml:space="preserve"> hinausgehenden </w:t>
      </w:r>
      <w:r w:rsidR="00B64621">
        <w:t xml:space="preserve">– </w:t>
      </w:r>
      <w:r>
        <w:t xml:space="preserve">Erweiterung der Kapazitäten </w:t>
      </w:r>
      <w:r w:rsidR="00B64621">
        <w:t>in der Fachrichtung PSY vor, so</w:t>
      </w:r>
      <w:r>
        <w:t>dass von einer besonderen Dringlichkeit zum weiteren Ausbau der Kapazitäten kaum gesprochen werden kann.</w:t>
      </w:r>
    </w:p>
    <w:p w:rsidR="004E2F84" w:rsidRDefault="004E2F84" w:rsidP="004E2F84">
      <w:pPr>
        <w:pStyle w:val="LTAntwortRessortText"/>
      </w:pPr>
      <w:r>
        <w:t xml:space="preserve">Seit dem 1. Juli 2021 steht das psychosoziale Beratungs- und Hilfeangebot der Krisendienste (Art. 1 </w:t>
      </w:r>
      <w:r w:rsidR="00A61AF3">
        <w:t>BayPsychKHG</w:t>
      </w:r>
      <w:r>
        <w:t>) bayernweit und rund um die Uhr unter der kostenfreien zentralen Rufnummer 0800/655 3000 zur V</w:t>
      </w:r>
      <w:r w:rsidR="00DE199D">
        <w:t>erfügung. Die Krisendienste kön</w:t>
      </w:r>
      <w:r>
        <w:t>nen von jeder hilfesuchenden Person kontaktiert werden. Auch Angehörige, Bezugspersonen sowie Personen aus dem Lebensumfeld von Menschen in psychischen Krisen können sich an die Krisendienste wenden.</w:t>
      </w:r>
    </w:p>
    <w:p w:rsidR="004E2F84" w:rsidRDefault="004E2F84" w:rsidP="004E2F84">
      <w:pPr>
        <w:pStyle w:val="LTAntwortRessortText"/>
      </w:pPr>
      <w:r>
        <w:t>Die Sicherheitsbehörden ergreifen zur Verhinderung derartig schrecklicher Taten alle rechtlich und tatsächlich möglichen präventiven und repressiven Maßn</w:t>
      </w:r>
      <w:r w:rsidR="00DE199D">
        <w:t>ahmen. Jedoch kann eine hundert</w:t>
      </w:r>
      <w:r>
        <w:t>prozentige Sicherheit nicht gewährleistet werden.</w:t>
      </w:r>
    </w:p>
    <w:p w:rsidR="004E2F84" w:rsidRDefault="004E2F84" w:rsidP="004E2F84">
      <w:pPr>
        <w:pStyle w:val="LTAntwortRessortText"/>
      </w:pPr>
      <w:r>
        <w:t xml:space="preserve">Im Rahmen des Bayerischen Netzwerks für Prävention und </w:t>
      </w:r>
      <w:r w:rsidR="00DE199D">
        <w:t>Deradikalisierung gegen Salafis</w:t>
      </w:r>
      <w:r>
        <w:t xml:space="preserve">mus sollen spezifische Präventionsmaßnahmen Fachkräfte und </w:t>
      </w:r>
      <w:r w:rsidR="00DE199D">
        <w:t>Multiplikatoren bei der frühzei</w:t>
      </w:r>
      <w:r>
        <w:t>tigen Erkennung von Radikalisierung und im Umgang mit ra</w:t>
      </w:r>
      <w:r w:rsidR="00DE199D">
        <w:t>dikalisierungsgefährdeten Perso</w:t>
      </w:r>
      <w:r>
        <w:t>nen durch Sensibilisierung, Aufklärung und Praxisschulung</w:t>
      </w:r>
      <w:r w:rsidR="00DE199D">
        <w:t>en unterstützen. Die Netzwerkak</w:t>
      </w:r>
      <w:r>
        <w:t>teure führen seit 2015 in ganz Bayern Multiplikatorenschulun</w:t>
      </w:r>
      <w:r w:rsidR="00DE199D">
        <w:t>gen durch, um möglichst flächen</w:t>
      </w:r>
      <w:r>
        <w:t>deckend für das Phänomen der Radikalisierung und dessen Hintergründe zu sensibilisieren und das Beratungs- und Unterstützungsangebot des Netzwerks und die jeweilige</w:t>
      </w:r>
      <w:r w:rsidR="00DE199D">
        <w:t>n Ansprechperso</w:t>
      </w:r>
      <w:r>
        <w:t>nen noch bekannter zu machen. Zielgruppen dieser Veranstaltungen sind zum Beispiel auch Verantwortliche für die Unterbringung von Flüchtlingen, Fac</w:t>
      </w:r>
      <w:r w:rsidR="00DE199D">
        <w:t>hkräfte und Ehrenamtliche im Be</w:t>
      </w:r>
      <w:r>
        <w:t>reich der Flüchtlingsarbeit sowie Mitarbeiter des Maßregelvoll</w:t>
      </w:r>
      <w:r w:rsidR="00DE199D">
        <w:lastRenderedPageBreak/>
        <w:t>zugs. Das Netzwerk hat seit sei</w:t>
      </w:r>
      <w:r w:rsidR="00A61AF3">
        <w:t>ner Gründung weit über 35 </w:t>
      </w:r>
      <w:r>
        <w:t>000 Fachkräfte (vor allem Mult</w:t>
      </w:r>
      <w:r w:rsidR="00DE199D">
        <w:t>iplikatoren), Angehörige und Be</w:t>
      </w:r>
      <w:r>
        <w:t>troffene im Rahmen von Vorträgen, Veranstaltungen, Fortbildungen und Beratungsleistungen erreicht.</w:t>
      </w:r>
    </w:p>
    <w:p w:rsidR="004E2F84" w:rsidRDefault="007938C8" w:rsidP="00B650E7">
      <w:pPr>
        <w:pStyle w:val="LTAntwortRessortText"/>
        <w:spacing w:before="0"/>
      </w:pPr>
      <w:r>
        <w:t xml:space="preserve">Seit 2016 führt das </w:t>
      </w:r>
      <w:r w:rsidR="004E2F84">
        <w:t>Landesamt</w:t>
      </w:r>
      <w:r>
        <w:t xml:space="preserve"> für Verfassungsschutz </w:t>
      </w:r>
      <w:r w:rsidR="00B64621">
        <w:t>im Maßregelvoll</w:t>
      </w:r>
      <w:r w:rsidR="004E2F84">
        <w:t>zug (physisch kranke und suchtkranke Straftäter) Fortbil</w:t>
      </w:r>
      <w:r w:rsidR="00DE199D">
        <w:t>dungen zum Thema Islamismus, is</w:t>
      </w:r>
      <w:r w:rsidR="004E2F84">
        <w:t xml:space="preserve">lamistischer Terrorismus und Radikalisierungsprozesse durch und prüft derzeit, diesen Bereich im Rahmen der Präventionsarbeit auf </w:t>
      </w:r>
      <w:r w:rsidR="00A61AF3">
        <w:t>das allgemeine psychologische/</w:t>
      </w:r>
      <w:r w:rsidR="004E2F84">
        <w:t>psychiatrische Personal in Bezirkskrankenhäusern auszuweiten.</w:t>
      </w:r>
    </w:p>
    <w:p w:rsidR="004E2F84" w:rsidRDefault="004E2F84" w:rsidP="004E2F84">
      <w:pPr>
        <w:pStyle w:val="LTAntwortRessortText"/>
      </w:pPr>
      <w:r>
        <w:t>Im Rahmen des Ausweisungsrechts kann bei schweren Straftaten trotz eines vorhandenen Schutzanspruchs eine Ausweisungsverfügung erlassen werden und s</w:t>
      </w:r>
      <w:r w:rsidR="00DE199D">
        <w:t>omit ein bestehendes Auf</w:t>
      </w:r>
      <w:r>
        <w:t>enthaltsrecht beseitigt werden, um weitere Taten zu verhindern. Der Prävention dient ebenso eine effektive Überwachung und Kontrolle insbesondere bereit</w:t>
      </w:r>
      <w:r w:rsidR="00DE199D">
        <w:t>s erheblich straffällig geworde</w:t>
      </w:r>
      <w:r>
        <w:t xml:space="preserve">ner vollziehbar Ausreisepflichtiger, </w:t>
      </w:r>
      <w:r w:rsidR="003F1661">
        <w:t>z. B.</w:t>
      </w:r>
      <w:r>
        <w:t xml:space="preserve"> durch den Einsatz elektronischer Fußfesseln, sowie die konsequente Klärung der Identität und die Durchsetzung der</w:t>
      </w:r>
      <w:r w:rsidR="00DE199D">
        <w:t xml:space="preserve"> Pflicht zur Erfüllung der Pass</w:t>
      </w:r>
      <w:r>
        <w:t>pflicht.</w:t>
      </w:r>
    </w:p>
    <w:p w:rsidR="004E2F84" w:rsidRDefault="004E2F84" w:rsidP="004E2F84">
      <w:pPr>
        <w:pStyle w:val="LTAntwortRessortText"/>
      </w:pPr>
      <w:r>
        <w:t>In Bayern bestehen darüber hinaus bereits Projekte zur Früh</w:t>
      </w:r>
      <w:r w:rsidR="00DE199D">
        <w:t>erkennung psychischer Vulnerabi</w:t>
      </w:r>
      <w:r>
        <w:t>litäten. Weitere Gespräche über deren Ausbau sind zeitnah terminiert.</w:t>
      </w:r>
    </w:p>
    <w:p w:rsidR="00B64621" w:rsidRDefault="004E2F84" w:rsidP="004E2F84">
      <w:pPr>
        <w:pStyle w:val="LTAntwortRessortText"/>
      </w:pPr>
      <w:r>
        <w:t xml:space="preserve">Daneben unterstützt der Freistaat Bayern Asylbewerber und bleibeberechtigte Personen bereits in vielfältiger Art und Weise. </w:t>
      </w:r>
    </w:p>
    <w:p w:rsidR="004E2F84" w:rsidRDefault="004E2F84" w:rsidP="004E2F84">
      <w:pPr>
        <w:pStyle w:val="LTAntwortRessortText"/>
      </w:pPr>
      <w:r>
        <w:t>Exemplarisch sei hier genannt:</w:t>
      </w:r>
    </w:p>
    <w:p w:rsidR="004E2F84" w:rsidRDefault="004E2F84" w:rsidP="00B64621">
      <w:pPr>
        <w:pStyle w:val="LTAntwortRessortText"/>
        <w:spacing w:before="0"/>
      </w:pPr>
      <w:r>
        <w:t>Flächendeckend stehen in Bayern die Flüchtlings- und Integra</w:t>
      </w:r>
      <w:r w:rsidR="00DE199D">
        <w:t>tionsberatung und die Integrati</w:t>
      </w:r>
      <w:r>
        <w:t>onslotsinnen und -lotsen zur Verfügung. Die Flüchtlings- und Integrationsberatung bietet neu</w:t>
      </w:r>
      <w:r w:rsidR="00DE199D">
        <w:t xml:space="preserve"> </w:t>
      </w:r>
      <w:r>
        <w:t>zugewanderten, bleibeberechtigten Menschen mit Migrationshinter</w:t>
      </w:r>
      <w:r w:rsidR="007938C8">
        <w:t>grund sowie Asylbewerbe</w:t>
      </w:r>
      <w:r>
        <w:t xml:space="preserve">rinnen und -bewerbern ein professionelles, zielgruppenspezifisches Beratungsangebot. Dabei werden die persönlichen Bedarfe der zu Beratenden berücksichtigt. Zu den Beratungszielen zählen unter anderem </w:t>
      </w:r>
      <w:r w:rsidR="003F1661">
        <w:t>„</w:t>
      </w:r>
      <w:r>
        <w:t>Hilfe bei Krankheiten, insbesondere bei seelischen Erkrankungen</w:t>
      </w:r>
      <w:r w:rsidR="003F1661">
        <w:t>“</w:t>
      </w:r>
      <w:r>
        <w:t>. Die Flüchtlings- und Integrationsberaterinnen und -berater können</w:t>
      </w:r>
      <w:r w:rsidR="00DE199D">
        <w:t xml:space="preserve"> hier informieren, aufklären so</w:t>
      </w:r>
      <w:r>
        <w:t>wie gegebenenfalls Kontakte zu spezialisierten Beratungsstellen vermitteln. Ziel ist die Hilfe zur Selbsthilfe durch professionelle Unterstützung.</w:t>
      </w:r>
    </w:p>
    <w:p w:rsidR="004E2F84" w:rsidRDefault="004E2F84" w:rsidP="004E2F84">
      <w:pPr>
        <w:pStyle w:val="LTAntwortRessortText"/>
      </w:pPr>
      <w:r>
        <w:t>Weitere Angebote bestehen im Hinblick auf Erstorientierung</w:t>
      </w:r>
      <w:r w:rsidR="00DE199D">
        <w:t>, Wertevermittlung, Sprachförde</w:t>
      </w:r>
      <w:r>
        <w:t>rung und zur Förderung von Ausbildung und Arbeit im Bereich Integration.</w:t>
      </w:r>
    </w:p>
    <w:p w:rsidR="004E2F84" w:rsidRDefault="004E2F84" w:rsidP="004E2F84">
      <w:pPr>
        <w:pStyle w:val="LTAntwortRessortText"/>
      </w:pPr>
      <w:r>
        <w:t>Insgesamt sieht der Freistaat für den Bereich Integration Ausgaben in Höhe von über 40 Mio. Euro vor.</w:t>
      </w:r>
    </w:p>
    <w:p w:rsidR="004E2F84" w:rsidRDefault="004E2F84" w:rsidP="004E2F84">
      <w:pPr>
        <w:pStyle w:val="LTAntwortRessortText"/>
      </w:pPr>
      <w:r>
        <w:t>Die Annahme dieser Angebote ist freiwillig.</w:t>
      </w:r>
    </w:p>
    <w:p w:rsidR="004E2F84" w:rsidRDefault="004E2F84" w:rsidP="004E2F84">
      <w:pPr>
        <w:pStyle w:val="LTAntwortRessortText"/>
      </w:pPr>
      <w:r>
        <w:t>Die Prävention von Gewalttaten, die durch schizophren erkran</w:t>
      </w:r>
      <w:r w:rsidR="00B64621">
        <w:t>kte oder schwer persönlichkeits</w:t>
      </w:r>
      <w:r>
        <w:t>gestörte Personen in Bayern begangen werden könnten, ist v</w:t>
      </w:r>
      <w:r w:rsidR="00DE199D">
        <w:t>on besonderer Bedeutung. Mit Ge</w:t>
      </w:r>
      <w:r>
        <w:t>setzesänderung vom 1. Januar 2019 wurde daher in das Bayerische Maßregelvollzugsgesetz der Auftrag an die Fachaufsichtsbehörde aufgenommen, auf ein b</w:t>
      </w:r>
      <w:r w:rsidR="00DE199D">
        <w:t>edarfsgerechtes Angebot an soge</w:t>
      </w:r>
      <w:r>
        <w:t>nannten Präventionsstellen hinzuwirken. Diese sollen ein zusätzliches Angebot für psychisch kranke Menschen sein, um eine Unterbringung im Maßreg</w:t>
      </w:r>
      <w:r w:rsidR="00DE199D">
        <w:t xml:space="preserve">elvollzug nach § 63 </w:t>
      </w:r>
      <w:r w:rsidR="00A61AF3">
        <w:t>Strafgesetzbuch</w:t>
      </w:r>
      <w:r w:rsidR="00DE199D">
        <w:t xml:space="preserve"> bei be</w:t>
      </w:r>
      <w:r>
        <w:t>stimmten psychischen Erkrankungen zu vermeiden. Die Präventionsstellen werden schrittweise aufgebaut. In Betrieb sind derzeit bereits Präventionsstellen in Mittelfranken (Ansbach), Oberbayern (München) und Unterfranken (Lohr am Main).</w:t>
      </w:r>
      <w:r w:rsidR="00DE199D">
        <w:t xml:space="preserve"> </w:t>
      </w:r>
      <w:r w:rsidR="00DE199D">
        <w:lastRenderedPageBreak/>
        <w:t>Die Fachaufsichtsbehörde (Zent</w:t>
      </w:r>
      <w:r>
        <w:t>r</w:t>
      </w:r>
      <w:r w:rsidR="00A61AF3">
        <w:t>um Bayern Familie und Soziales –</w:t>
      </w:r>
      <w:r>
        <w:t xml:space="preserve"> Amt für Maßregelvollzug) wirkt darauf hin, dass nach und nach in jedem Bezirk ein entsprechendes Angebot eingerichtet wird.</w:t>
      </w:r>
    </w:p>
    <w:p w:rsidR="004E2F84" w:rsidRDefault="004E2F84" w:rsidP="004E2F84">
      <w:pPr>
        <w:pStyle w:val="LTAntwortRessortText"/>
      </w:pPr>
      <w:r>
        <w:t>Neben der Förderung von flächendeckenden und zielgruppenspezifischen Präventionsprojekten sowie Anlauf- und Beratungsstellen</w:t>
      </w:r>
      <w:r w:rsidR="00B64621">
        <w:t>,</w:t>
      </w:r>
      <w:r>
        <w:t xml:space="preserve"> wie </w:t>
      </w:r>
      <w:r w:rsidR="003F1661">
        <w:t>z. B.</w:t>
      </w:r>
      <w:r>
        <w:t xml:space="preserve"> die Fachstelle zur Prävention religiös begründeter Radikalisierung ufuq.de, die Landeskoordinierungsstelle geg</w:t>
      </w:r>
      <w:r w:rsidR="00DE199D">
        <w:t>en Rechtsextremismus und die Re</w:t>
      </w:r>
      <w:r>
        <w:t>cherche- und Inf</w:t>
      </w:r>
      <w:r w:rsidR="00B64621">
        <w:t>ormationsstelle Antisemitismus (</w:t>
      </w:r>
      <w:r>
        <w:t>RIAS Bayern</w:t>
      </w:r>
      <w:r w:rsidR="00B64621">
        <w:t>)</w:t>
      </w:r>
      <w:r>
        <w:t xml:space="preserve"> unterstützt das St</w:t>
      </w:r>
      <w:r w:rsidR="007938C8">
        <w:t>aatsministerium für Familie, Arbeit und Soziales</w:t>
      </w:r>
      <w:r>
        <w:t xml:space="preserve"> </w:t>
      </w:r>
      <w:r w:rsidR="00B64621">
        <w:t xml:space="preserve">(StMAS) </w:t>
      </w:r>
      <w:r>
        <w:t>den Aufbau von kommunalen Netzwerken gegen Radikalisierung,</w:t>
      </w:r>
      <w:r w:rsidR="00DE199D">
        <w:t xml:space="preserve"> in denen Akteure aus den Berei</w:t>
      </w:r>
      <w:r>
        <w:t>chen Schule, Sozial- und Jugendarbeit, Polizei, Integration, G</w:t>
      </w:r>
      <w:r w:rsidR="00DE199D">
        <w:t>esundheit und Politik eng zusam</w:t>
      </w:r>
      <w:r>
        <w:t>menarbeiten. Zu den Hauptzielen der kommunalen Präventio</w:t>
      </w:r>
      <w:r w:rsidR="00DE199D">
        <w:t>nsnetzwerke zählen die Identifi</w:t>
      </w:r>
      <w:r>
        <w:t>zierung, Bündelung und Weiterentwicklung von Maßnahmen, I</w:t>
      </w:r>
      <w:r w:rsidR="00DE199D">
        <w:t>nitiativen und Projekten, um de</w:t>
      </w:r>
      <w:r>
        <w:t>mokratiefeindlichen Grundhaltungen möglichst frühzeitig entgegenzuwirken. Derzeit existieren solche kommunalen Netzwerke in Würzburg, Augsburg und Nürnberg.</w:t>
      </w:r>
    </w:p>
    <w:p w:rsidR="004E2F84" w:rsidRDefault="004E2F84" w:rsidP="004E2F84">
      <w:pPr>
        <w:pStyle w:val="LTAntwortRessortText"/>
      </w:pPr>
      <w:r>
        <w:t xml:space="preserve">Die Netzwerkarbeit vor Ort wird fachübergreifend begleitet: So hat das StMAS bereits am 27. September 2018 die Tagung </w:t>
      </w:r>
      <w:r w:rsidR="003F1661">
        <w:t>„</w:t>
      </w:r>
      <w:r>
        <w:t>Religiös begründete Radika</w:t>
      </w:r>
      <w:r w:rsidR="00DE199D">
        <w:t>lisierung im Kontext von Psychi</w:t>
      </w:r>
      <w:r>
        <w:t>atrie und Psychologie</w:t>
      </w:r>
      <w:r w:rsidR="003F1661">
        <w:t>“</w:t>
      </w:r>
      <w:r>
        <w:t xml:space="preserve"> veranstaltet. Kooperationspartner der Veranstaltung waren </w:t>
      </w:r>
      <w:r w:rsidR="003F1661">
        <w:t>u. a.</w:t>
      </w:r>
      <w:r>
        <w:t xml:space="preserve"> die für die öffentlich-rechtliche Unterbringung und den Maßregelvol</w:t>
      </w:r>
      <w:r w:rsidR="00DE199D">
        <w:t>lzug in Bayern zuständigen Kran</w:t>
      </w:r>
      <w:r>
        <w:t>kenhäuser und Kliniken sowie die Partner des Bayerischen Netzwerks für Präven</w:t>
      </w:r>
      <w:r w:rsidR="00DE199D">
        <w:t>tion und Deradikalisierung gegen Sa</w:t>
      </w:r>
      <w:r>
        <w:t>lafismus.</w:t>
      </w:r>
    </w:p>
    <w:p w:rsidR="004E2F84" w:rsidRDefault="004E2F84" w:rsidP="004E2F84">
      <w:pPr>
        <w:pStyle w:val="LTAntwortRessortText"/>
      </w:pPr>
      <w:r>
        <w:t>Die bewährten Präventionsansätze und Netzwerkstrukturen gilt</w:t>
      </w:r>
      <w:r w:rsidR="00DE199D">
        <w:t xml:space="preserve"> es bedarfs- und zielgruppenori</w:t>
      </w:r>
      <w:r>
        <w:t>entiert auszubauen und zu verstetigen</w:t>
      </w:r>
    </w:p>
    <w:p w:rsidR="004E2F84" w:rsidRDefault="004E2F84">
      <w:bookmarkStart w:id="16" w:name="Frage_Nr_7_Ende"/>
      <w:bookmarkEnd w:id="16"/>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E17E40" w:rsidTr="00E17E40">
        <w:tc>
          <w:tcPr>
            <w:tcW w:w="1890" w:type="dxa"/>
          </w:tcPr>
          <w:p w:rsidR="00E17E40" w:rsidRDefault="00E17E40" w:rsidP="00E17E40">
            <w:pPr>
              <w:pStyle w:val="LTAnfrageInitiator"/>
            </w:pPr>
            <w:r>
              <w:lastRenderedPageBreak/>
              <w:t>Abgeordnete</w:t>
            </w:r>
            <w:r>
              <w:rPr>
                <w:b/>
              </w:rPr>
              <w:br/>
              <w:t>Diana</w:t>
            </w:r>
            <w:r>
              <w:rPr>
                <w:b/>
              </w:rPr>
              <w:br/>
              <w:t>Stachowitz</w:t>
            </w:r>
            <w:r>
              <w:rPr>
                <w:b/>
              </w:rPr>
              <w:br/>
            </w:r>
            <w:r>
              <w:t>(SPD)</w:t>
            </w:r>
            <w:bookmarkStart w:id="17" w:name="Frage_Nr_8"/>
            <w:bookmarkEnd w:id="17"/>
          </w:p>
        </w:tc>
        <w:tc>
          <w:tcPr>
            <w:tcW w:w="5726" w:type="dxa"/>
          </w:tcPr>
          <w:p w:rsidR="00E17E40" w:rsidRPr="00762CAF" w:rsidRDefault="00E17E40" w:rsidP="00762CAF">
            <w:pPr>
              <w:pStyle w:val="LTAnfrageText"/>
            </w:pPr>
            <w:r w:rsidRPr="00762CAF">
              <w:t>Ich frage die Staatsregierung, wo kommen die benötigten Schwimmflächen her, nachdem über 200 000 Gutscheine für „Seepferdchenkurse“ zum Schuljahresbeginn ausgereicht werden und plant sie mit Hilfe eines Sonderinvestitionsprogramm</w:t>
            </w:r>
            <w:r w:rsidR="00B64621">
              <w:t>s</w:t>
            </w:r>
            <w:r w:rsidRPr="00762CAF">
              <w:t xml:space="preserve"> aus dem Sonderfonds Corona den Kommunen die Kosten zu erstatten, die durch die Verlängerung der Nutzungszeiten der Schulschwimmbäder in die Abendstunden und die Wochenenden und durch den Aufbau von Traglufthallen über den Lehrschwimmflächen der Freibäder entstehen? </w:t>
            </w:r>
          </w:p>
        </w:tc>
        <w:tc>
          <w:tcPr>
            <w:tcW w:w="5726" w:type="dxa"/>
          </w:tcPr>
          <w:p w:rsidR="00E17E40" w:rsidRDefault="00E17E40" w:rsidP="00E17E40">
            <w:pPr>
              <w:pStyle w:val="LTAnfrageText"/>
            </w:pPr>
          </w:p>
        </w:tc>
      </w:tr>
    </w:tbl>
    <w:p w:rsidR="004E2F84" w:rsidRDefault="004E2F84" w:rsidP="004E2F84">
      <w:pPr>
        <w:pStyle w:val="LTUeberschrAntwortRessort"/>
      </w:pPr>
      <w:r>
        <w:t>Antwort des Staatsministeriums des Innern, für Sport und Integration</w:t>
      </w:r>
    </w:p>
    <w:p w:rsidR="004E2F84" w:rsidRDefault="004E2F84" w:rsidP="004E2F84">
      <w:pPr>
        <w:pStyle w:val="LTAntwortRessortText"/>
      </w:pPr>
      <w:r>
        <w:t xml:space="preserve">Die im Ministerrat vom 29. Juni 2021 beschlossene </w:t>
      </w:r>
      <w:r w:rsidR="00DE199D">
        <w:t>Maßnahme zur Förderung des Früh</w:t>
      </w:r>
      <w:r>
        <w:t>schwimmerabzeichens (</w:t>
      </w:r>
      <w:r w:rsidR="003F1661">
        <w:t>„</w:t>
      </w:r>
      <w:r>
        <w:t>Seepferdchen</w:t>
      </w:r>
      <w:r w:rsidR="003F1661">
        <w:t>“</w:t>
      </w:r>
      <w:r>
        <w:t>) mit einem Zuschuss v</w:t>
      </w:r>
      <w:r w:rsidR="007938C8">
        <w:t>on 50 Euro je Kind für alle Vor</w:t>
      </w:r>
      <w:r>
        <w:t>schulkinder und Erstklässler des Schuljahres 2021/</w:t>
      </w:r>
      <w:r w:rsidR="007938C8">
        <w:t>20</w:t>
      </w:r>
      <w:r>
        <w:t>22 ist in der Umsetzung auf den Zeitrahmen eines ganzen Jahres ausgelegt.</w:t>
      </w:r>
    </w:p>
    <w:p w:rsidR="004E2F84" w:rsidRDefault="004E2F84" w:rsidP="004608CC">
      <w:pPr>
        <w:pStyle w:val="LTAntwortRessortText"/>
        <w:spacing w:before="0"/>
      </w:pPr>
      <w:r>
        <w:t>Durch ebendiese zeitliche Ausdehnung des Förderprogramms</w:t>
      </w:r>
      <w:r w:rsidR="00DE199D">
        <w:t xml:space="preserve"> kann grundsätzlich davon ausge</w:t>
      </w:r>
      <w:r>
        <w:t>gangen werden, dass aufgrund der Förderung des Frühschwi</w:t>
      </w:r>
      <w:r w:rsidR="00DE199D">
        <w:t>mmerabzeichens durch die Staats</w:t>
      </w:r>
      <w:r>
        <w:t>regierung kein überdauernder signifikanter Bedarfsanstieg an Schwimmflächen in Bayern zu erwarten ist.</w:t>
      </w:r>
    </w:p>
    <w:p w:rsidR="004E2F84" w:rsidRDefault="004E2F84" w:rsidP="004E2F84">
      <w:pPr>
        <w:pStyle w:val="LTAntwortRessortText"/>
      </w:pPr>
      <w:r>
        <w:t>Im Übrigen ist die allgemeine Sportförderung außerhalb des Schulsports, worunter auch die Bereitstellung von Schwimmflächen für die Öffentlichkeit fällt,</w:t>
      </w:r>
      <w:r w:rsidR="007938C8">
        <w:t xml:space="preserve"> nach Art. 83 Abs. </w:t>
      </w:r>
      <w:r w:rsidR="00DE199D">
        <w:t>1 der Bayeri</w:t>
      </w:r>
      <w:r>
        <w:t>schen Verfassung (BV) grundsätzlich eine Aufgabe der Gemeinden im Rahmen des eigenen Wirkungskreises. Nach Art. 57 Abs. 1 Satz 1 der Gemeindeordnung (GO) sollen die Gemeinden im eigenen Wirkungskreis in den Grenzen ihrer Leistungsfähigkeit die öffentlichen Einrichtungen schaffen und erhalten, die nach den örtlichen Verhältnissen für das wirtschaftliche, soziale und kulturelle Wohl und die Förderung des Gemeins</w:t>
      </w:r>
      <w:r w:rsidR="00DE199D">
        <w:t>chaftslebens ihrer Einwohner er</w:t>
      </w:r>
      <w:r>
        <w:t>forderlich sind, insbesondere Einrichtungen der Gesundheit, der öffentlichen Wohlfahrtspflege einschließlich der Jugendhilfe, der Jugendertüchtigung und d</w:t>
      </w:r>
      <w:r w:rsidR="00DE199D">
        <w:t>es Breitensports. Ohne Hinzutre</w:t>
      </w:r>
      <w:r>
        <w:t>ten einer sondergesetzlic</w:t>
      </w:r>
      <w:r w:rsidR="007938C8">
        <w:t>hen Regelung (vgl. Art. 57 Abs. </w:t>
      </w:r>
      <w:r>
        <w:t>1 Satz 2 GO) handelt es sich bei dem</w:t>
      </w:r>
      <w:r w:rsidR="00DE199D">
        <w:t xml:space="preserve"> </w:t>
      </w:r>
      <w:r>
        <w:t>in Art. 57 Abs. 1 Satz 1 GO angesprochenen Bereich um freiwillige Aufgaben. Damit verfügen die Gemeinden über ausreichend Handlungsspielraum, um der</w:t>
      </w:r>
      <w:r w:rsidR="00DE199D">
        <w:t xml:space="preserve"> örtlichen Situation und der je</w:t>
      </w:r>
      <w:r>
        <w:t>weiligen Prioritätensetzung Rechnung tragen zu können.</w:t>
      </w:r>
    </w:p>
    <w:p w:rsidR="004E2F84" w:rsidRDefault="004E2F84">
      <w:bookmarkStart w:id="18" w:name="Frage_Nr_8_Ende"/>
      <w:bookmarkEnd w:id="18"/>
      <w:r>
        <w:br w:type="page"/>
      </w:r>
    </w:p>
    <w:p w:rsidR="004E2F84" w:rsidRDefault="004E2F84" w:rsidP="004E2F84">
      <w:pPr>
        <w:pStyle w:val="LTUeberschrRessort"/>
      </w:pPr>
      <w:r>
        <w:lastRenderedPageBreak/>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7E40" w:rsidTr="00E17E40">
        <w:tc>
          <w:tcPr>
            <w:tcW w:w="1883" w:type="dxa"/>
          </w:tcPr>
          <w:p w:rsidR="00E17E40" w:rsidRDefault="00E17E40" w:rsidP="00E17E40">
            <w:pPr>
              <w:pStyle w:val="LTAnfrageInitiator"/>
            </w:pPr>
            <w:r>
              <w:t>Abgeordneter</w:t>
            </w:r>
            <w:r>
              <w:rPr>
                <w:b/>
              </w:rPr>
              <w:br/>
              <w:t>Johannes</w:t>
            </w:r>
            <w:r>
              <w:rPr>
                <w:b/>
              </w:rPr>
              <w:br/>
              <w:t>Becher</w:t>
            </w:r>
            <w:r>
              <w:rPr>
                <w:b/>
              </w:rPr>
              <w:br/>
            </w:r>
            <w:r>
              <w:t>(BÜNDNIS 90/DIE GRÜNEN)</w:t>
            </w:r>
            <w:bookmarkStart w:id="19" w:name="Frage_Nr_9"/>
            <w:bookmarkEnd w:id="19"/>
          </w:p>
        </w:tc>
        <w:tc>
          <w:tcPr>
            <w:tcW w:w="5733" w:type="dxa"/>
          </w:tcPr>
          <w:p w:rsidR="00E17E40" w:rsidRPr="00E85D1C" w:rsidRDefault="00E17E40" w:rsidP="00E85D1C">
            <w:pPr>
              <w:pStyle w:val="LTAnfrageText"/>
            </w:pPr>
            <w:r w:rsidRPr="00E85D1C">
              <w:t>Vor dem Hintergrund des Gutachtens „Bahnausbau München“ und den darin angedachten neuen S-Bahn-Halten Mintraching und Parkzentrum West (Flughafen) frage ich die Staatsregierung, von welchen Faktoren eine Umsetzung abhängt, welche Auswirkungen damit in Bezug auf Fahrzeiten und Takte einhergingen und in welchem Zeitraum eine mögliche Umsetzung geplant ist? </w:t>
            </w:r>
          </w:p>
        </w:tc>
        <w:tc>
          <w:tcPr>
            <w:tcW w:w="5733" w:type="dxa"/>
          </w:tcPr>
          <w:p w:rsidR="00E17E40" w:rsidRDefault="00E17E40" w:rsidP="00E17E40">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 xml:space="preserve">Der Freistaat hat das Programm </w:t>
      </w:r>
      <w:r w:rsidR="003F1661">
        <w:t>„</w:t>
      </w:r>
      <w:r>
        <w:t>Bahnausbau Region München</w:t>
      </w:r>
      <w:r w:rsidR="003F1661">
        <w:t>“</w:t>
      </w:r>
      <w:r>
        <w:t xml:space="preserve"> für </w:t>
      </w:r>
      <w:r w:rsidR="00DE199D">
        <w:t>die zukünf</w:t>
      </w:r>
      <w:r>
        <w:t>tige Gestaltung des Schienenpersonennahverkehrs in der Metropolregion München auf den Weg gebracht. Derzeit umfasst das Programm 29 Maßnahmen, die sich bereits in konkreter Planung bei der D</w:t>
      </w:r>
      <w:r w:rsidR="00DE199D">
        <w:t>eutschen Bahn bzw. in der Umset</w:t>
      </w:r>
      <w:r>
        <w:t xml:space="preserve">zungsphase befinden. Darüber hinaus werden </w:t>
      </w:r>
      <w:r w:rsidR="00DE199D">
        <w:t xml:space="preserve">derzeit weitere 43 Maßnahmen </w:t>
      </w:r>
      <w:r w:rsidR="00B64621">
        <w:t xml:space="preserve">daraufhin </w:t>
      </w:r>
      <w:r w:rsidR="00DE199D">
        <w:t>un</w:t>
      </w:r>
      <w:r>
        <w:t>tersucht, ob sie Bestandteil des Programms werden können.</w:t>
      </w:r>
    </w:p>
    <w:p w:rsidR="004E2F84" w:rsidRDefault="004E2F84" w:rsidP="004E2F84">
      <w:pPr>
        <w:pStyle w:val="LTAntwortRessortText"/>
      </w:pPr>
      <w:r>
        <w:t>Die möglichen S-Bahn-Halte Mintraching und Parkzentrum West sind Elemente der zu untersuchenden Maßnahmen und werden in diesem Rahmen zunächst auf ihre verkehrliche Wirkung</w:t>
      </w:r>
      <w:r w:rsidR="00B64621">
        <w:t xml:space="preserve"> sowie ihre</w:t>
      </w:r>
      <w:r>
        <w:t xml:space="preserve"> eisenbahnbetriebliche und bautechnische Machbarkeit geprüft, bevor entschieden werden kann, ob sie Bestandteil des Programms </w:t>
      </w:r>
      <w:r w:rsidR="003F1661">
        <w:t>„</w:t>
      </w:r>
      <w:r>
        <w:t>Bahnausbau Region München</w:t>
      </w:r>
      <w:r w:rsidR="003F1661">
        <w:t>“</w:t>
      </w:r>
      <w:r>
        <w:t xml:space="preserve"> werden. Bed</w:t>
      </w:r>
      <w:r w:rsidR="00DE199D">
        <w:t>ingt durch die Vielzahl und Kom</w:t>
      </w:r>
      <w:r>
        <w:t>plexität der zu betrachtenden Maßnahmen und deren jeweilige</w:t>
      </w:r>
      <w:r w:rsidR="00B64621">
        <w:t>n</w:t>
      </w:r>
      <w:r>
        <w:t xml:space="preserve"> Abhängigkeiten</w:t>
      </w:r>
      <w:r w:rsidR="00DE199D">
        <w:t xml:space="preserve"> </w:t>
      </w:r>
      <w:r>
        <w:t>untereinander sind Ergebnisse für die in Rede stehenden Maßnahmen vorau</w:t>
      </w:r>
      <w:r w:rsidR="004608CC">
        <w:t>s</w:t>
      </w:r>
      <w:r>
        <w:t>sichtlich im Laufe des Jahres 2022 zu erwarten. Aussagen zu Auswirkungen in Bezug auf Fahrzeiten und Takte sowie zum Zeitraum einer möglichen Umsetzung können zum jetzigen Zeitpunkt insofern noch nicht getroffen werden.</w:t>
      </w:r>
    </w:p>
    <w:p w:rsidR="004E2F84" w:rsidRDefault="004E2F84">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17E40" w:rsidTr="00E17E40">
        <w:tc>
          <w:tcPr>
            <w:tcW w:w="1883" w:type="dxa"/>
          </w:tcPr>
          <w:p w:rsidR="00E17E40" w:rsidRDefault="00E17E40" w:rsidP="00E17E40">
            <w:pPr>
              <w:pStyle w:val="LTAnfrageInitiator"/>
            </w:pPr>
            <w:r>
              <w:lastRenderedPageBreak/>
              <w:t>Abgeordneter</w:t>
            </w:r>
            <w:r>
              <w:rPr>
                <w:b/>
              </w:rPr>
              <w:br/>
              <w:t>Dr. Markus</w:t>
            </w:r>
            <w:r>
              <w:rPr>
                <w:b/>
              </w:rPr>
              <w:br/>
              <w:t>Büchler</w:t>
            </w:r>
            <w:r>
              <w:rPr>
                <w:b/>
              </w:rPr>
              <w:br/>
            </w:r>
            <w:r>
              <w:t>(BÜNDNIS 90/DIE GRÜNEN)</w:t>
            </w:r>
            <w:bookmarkStart w:id="21" w:name="Frage_Nr_10"/>
            <w:bookmarkEnd w:id="21"/>
          </w:p>
        </w:tc>
        <w:tc>
          <w:tcPr>
            <w:tcW w:w="5733" w:type="dxa"/>
          </w:tcPr>
          <w:p w:rsidR="00E17E40" w:rsidRPr="00E85D1C" w:rsidRDefault="00E17E40" w:rsidP="00E85D1C">
            <w:pPr>
              <w:pStyle w:val="LTAnfrageText"/>
            </w:pPr>
            <w:r w:rsidRPr="00E85D1C">
              <w:t>Ich frage die Staatsregierung, wie ist der Stand der Umsetzung der im Fahrplan für mehr Mobilität in Bayern des Staatsministeriums für Wohnen, Bau und Verkehr vom Juli 2018 angekündigten überregional wichtigen bzw. landesbedeutsamen Buslinien (bitte nach Linie aufgeschlüsselt), wie hoch ist jeweils der Finanzierungsanteil des Freistaates und wann ist mit einem Start der einzelnen Linien (bitte nach Linien aufgeschlüsselt) zu rechnen?</w:t>
            </w:r>
          </w:p>
        </w:tc>
        <w:tc>
          <w:tcPr>
            <w:tcW w:w="5733" w:type="dxa"/>
          </w:tcPr>
          <w:p w:rsidR="00E17E40" w:rsidRDefault="00E17E40" w:rsidP="00E17E40">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Die Planung und Umsetzung der landesbedeutsamen Buslinien erfolgt durch die jeweiligen Aufgabenträger des allgemeinen ÖPNV (Landkreise und kreisfreie Städte).</w:t>
      </w:r>
    </w:p>
    <w:p w:rsidR="004E2F84" w:rsidRDefault="004E2F84" w:rsidP="004E2F84">
      <w:pPr>
        <w:pStyle w:val="LTAntwortRessortText"/>
      </w:pPr>
      <w:r>
        <w:t>a) Stand der Umsetzung</w:t>
      </w:r>
    </w:p>
    <w:p w:rsidR="004E2F84" w:rsidRDefault="004E2F84" w:rsidP="004E2F84">
      <w:pPr>
        <w:pStyle w:val="LTAntwortRessortText"/>
      </w:pPr>
      <w:r w:rsidRPr="00AB0419">
        <w:rPr>
          <w:u w:val="single"/>
        </w:rPr>
        <w:t>Linie Nr. 1 (MVV-Ringbuslinie):</w:t>
      </w:r>
      <w:r>
        <w:t xml:space="preserve"> Planung der sieben Linien des Rings beendet, Ausschreibung läuft, Betriebsaufnahme zum Fahrplanwechsel am 12.12.2021 vorgesehen.</w:t>
      </w:r>
    </w:p>
    <w:p w:rsidR="004E2F84" w:rsidRDefault="007938C8" w:rsidP="004E2F84">
      <w:pPr>
        <w:pStyle w:val="LTAntwortRessortText"/>
      </w:pPr>
      <w:r>
        <w:rPr>
          <w:u w:val="single"/>
        </w:rPr>
        <w:t>Linie Nr. 2 (Ingolstadt –</w:t>
      </w:r>
      <w:r w:rsidR="004E2F84" w:rsidRPr="00AB0419">
        <w:rPr>
          <w:u w:val="single"/>
        </w:rPr>
        <w:t xml:space="preserve"> Landshut):</w:t>
      </w:r>
      <w:r w:rsidR="004E2F84">
        <w:t xml:space="preserve"> Bislang gibt es noch keine konkreten Pl</w:t>
      </w:r>
      <w:r w:rsidR="00DE199D">
        <w:t>a</w:t>
      </w:r>
      <w:r w:rsidR="004E2F84">
        <w:t>nungen der Aufgabenträger.</w:t>
      </w:r>
    </w:p>
    <w:p w:rsidR="004E2F84" w:rsidRDefault="007938C8" w:rsidP="004E2F84">
      <w:pPr>
        <w:pStyle w:val="LTAntwortRessortText"/>
      </w:pPr>
      <w:r>
        <w:rPr>
          <w:u w:val="single"/>
        </w:rPr>
        <w:t>Linie Nr. 3 (Grafenau –</w:t>
      </w:r>
      <w:r w:rsidR="004E2F84" w:rsidRPr="00AB0419">
        <w:rPr>
          <w:u w:val="single"/>
        </w:rPr>
        <w:t xml:space="preserve"> Passau):</w:t>
      </w:r>
      <w:r w:rsidR="004E2F84">
        <w:t xml:space="preserve"> Die Schnellbuslinie 100 zwischen Passau und Grafenau verkehrt bereits seit Januar 2018 im Stundentakt. Die Einrichtung der Linie wird derzeit in der Anlaufphase im Rahmen des Förderprogramms zur</w:t>
      </w:r>
      <w:r w:rsidR="00DE199D">
        <w:t xml:space="preserve"> Ver</w:t>
      </w:r>
      <w:r w:rsidR="004E2F84">
        <w:t>besserung der Mobilität im ländlichen Raum vom Freistaat gefördert.</w:t>
      </w:r>
    </w:p>
    <w:p w:rsidR="004E2F84" w:rsidRDefault="007938C8" w:rsidP="004E2F84">
      <w:pPr>
        <w:pStyle w:val="LTAntwortRessortText"/>
      </w:pPr>
      <w:r>
        <w:rPr>
          <w:u w:val="single"/>
        </w:rPr>
        <w:t>Linie Nr. 4 (Roth –</w:t>
      </w:r>
      <w:r w:rsidR="004E2F84" w:rsidRPr="00AB0419">
        <w:rPr>
          <w:u w:val="single"/>
        </w:rPr>
        <w:t xml:space="preserve"> Weiden):</w:t>
      </w:r>
      <w:r w:rsidR="004E2F84">
        <w:t xml:space="preserve"> Konkrete Planungen der Aufgabenträger liegen nicht vor.</w:t>
      </w:r>
    </w:p>
    <w:p w:rsidR="004E2F84" w:rsidRDefault="004E2F84" w:rsidP="004E2F84">
      <w:pPr>
        <w:pStyle w:val="LTAntwortRessortText"/>
      </w:pPr>
      <w:r w:rsidRPr="00AB0419">
        <w:rPr>
          <w:u w:val="single"/>
        </w:rPr>
        <w:t>Linie Nr. 5 (Alpenbus):</w:t>
      </w:r>
      <w:r>
        <w:t xml:space="preserve"> Die Ausschreibung soll i</w:t>
      </w:r>
      <w:r w:rsidR="00DE199D">
        <w:t>m Herbst starten. In der Linien</w:t>
      </w:r>
      <w:r>
        <w:t>führung werden aktuell noch verschiedene Alternativen geprüft.</w:t>
      </w:r>
    </w:p>
    <w:p w:rsidR="004E2F84" w:rsidRDefault="004E2F84" w:rsidP="004E2F84">
      <w:pPr>
        <w:pStyle w:val="LTAntwortRessortText"/>
      </w:pPr>
      <w:r w:rsidRPr="00AB0419">
        <w:rPr>
          <w:u w:val="single"/>
        </w:rPr>
        <w:t>Linie Nr. 6 (Allgäubus):</w:t>
      </w:r>
      <w:r>
        <w:t xml:space="preserve"> Konkrete Planungen der Aufgabenträger liegen nicht vor.</w:t>
      </w:r>
    </w:p>
    <w:p w:rsidR="004E2F84" w:rsidRDefault="007938C8" w:rsidP="004E2F84">
      <w:pPr>
        <w:pStyle w:val="LTAntwortRessortText"/>
      </w:pPr>
      <w:r>
        <w:rPr>
          <w:u w:val="single"/>
        </w:rPr>
        <w:t>Linie Nr. 7 (Gersfeld –</w:t>
      </w:r>
      <w:r w:rsidR="004E2F84" w:rsidRPr="00AB0419">
        <w:rPr>
          <w:u w:val="single"/>
        </w:rPr>
        <w:t xml:space="preserve"> Coburg):</w:t>
      </w:r>
      <w:r w:rsidR="004E2F84">
        <w:t xml:space="preserve"> Die Betrieb</w:t>
      </w:r>
      <w:r w:rsidR="00DE199D">
        <w:t xml:space="preserve">saufnahme ist am </w:t>
      </w:r>
      <w:r>
        <w:t>01.05.</w:t>
      </w:r>
      <w:r w:rsidR="00DE199D">
        <w:t>2021 er</w:t>
      </w:r>
      <w:r w:rsidR="004E2F84">
        <w:t>folgt.</w:t>
      </w:r>
    </w:p>
    <w:p w:rsidR="004E2F84" w:rsidRDefault="004E2F84" w:rsidP="004E2F84">
      <w:pPr>
        <w:pStyle w:val="LTAntwortRessortText"/>
      </w:pPr>
      <w:r>
        <w:t>Zu Linien 2, 4 und 6: Die Aufgabenträger sehen trotz des Finanzierungsangebots des Freistaat</w:t>
      </w:r>
      <w:r w:rsidR="00DE199D">
        <w:t>e</w:t>
      </w:r>
      <w:r>
        <w:t>s aktuell keinen Handlungsbedarf z</w:t>
      </w:r>
      <w:r w:rsidR="00DE199D">
        <w:t>ur Errichtung überregionaler Ex</w:t>
      </w:r>
      <w:r>
        <w:t>pressbuslinien in kommunaler Zusammenarbeit. Im Fokus steht dort noch die feinräumige Erschließung im eigenen Hoheitsgebiet.</w:t>
      </w:r>
    </w:p>
    <w:p w:rsidR="007938C8" w:rsidRDefault="007938C8">
      <w:r>
        <w:br w:type="page"/>
      </w:r>
    </w:p>
    <w:p w:rsidR="004E2F84" w:rsidRDefault="004E2F84" w:rsidP="007938C8">
      <w:pPr>
        <w:pStyle w:val="LTAntwortRessortText"/>
        <w:spacing w:after="240"/>
      </w:pPr>
      <w:r>
        <w:lastRenderedPageBreak/>
        <w:t>b) Finanzierungsanteil des Freistaat</w:t>
      </w:r>
      <w:r w:rsidR="00AB0419">
        <w:t>e</w:t>
      </w:r>
      <w:r>
        <w:t>s</w:t>
      </w: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5629"/>
      </w:tblGrid>
      <w:tr w:rsidR="00CB7EC3" w:rsidTr="00CB7EC3">
        <w:trPr>
          <w:trHeight w:val="2504"/>
        </w:trPr>
        <w:tc>
          <w:tcPr>
            <w:tcW w:w="1742" w:type="dxa"/>
          </w:tcPr>
          <w:p w:rsidR="00CB7EC3" w:rsidRPr="00CB7EC3" w:rsidRDefault="00CB7EC3" w:rsidP="00E404BB">
            <w:pPr>
              <w:pStyle w:val="TableParagraph"/>
              <w:spacing w:line="315" w:lineRule="exact"/>
              <w:ind w:left="108" w:firstLine="0"/>
              <w:rPr>
                <w:rFonts w:ascii="Arial" w:hAnsi="Arial" w:cs="Arial"/>
                <w:sz w:val="18"/>
              </w:rPr>
            </w:pPr>
            <w:r w:rsidRPr="00CB7EC3">
              <w:rPr>
                <w:rFonts w:ascii="Arial" w:hAnsi="Arial" w:cs="Arial"/>
                <w:sz w:val="18"/>
                <w:u w:val="single"/>
              </w:rPr>
              <w:t>Förderhöhe</w:t>
            </w:r>
          </w:p>
        </w:tc>
        <w:tc>
          <w:tcPr>
            <w:tcW w:w="5629" w:type="dxa"/>
          </w:tcPr>
          <w:p w:rsidR="00CB7EC3" w:rsidRPr="00CB7EC3" w:rsidRDefault="007938C8" w:rsidP="007938C8">
            <w:pPr>
              <w:pStyle w:val="TableParagraph"/>
              <w:tabs>
                <w:tab w:val="left" w:pos="389"/>
              </w:tabs>
              <w:spacing w:line="315" w:lineRule="exact"/>
              <w:ind w:left="107" w:firstLine="0"/>
              <w:rPr>
                <w:rFonts w:ascii="Arial" w:hAnsi="Arial" w:cs="Arial"/>
                <w:sz w:val="18"/>
              </w:rPr>
            </w:pPr>
            <w:r>
              <w:rPr>
                <w:rFonts w:ascii="Arial" w:hAnsi="Arial" w:cs="Arial"/>
                <w:sz w:val="18"/>
              </w:rPr>
              <w:t xml:space="preserve">1. </w:t>
            </w:r>
            <w:r w:rsidR="00CB7EC3" w:rsidRPr="00CB7EC3">
              <w:rPr>
                <w:rFonts w:ascii="Arial" w:hAnsi="Arial" w:cs="Arial"/>
                <w:sz w:val="18"/>
              </w:rPr>
              <w:t>Jahr 65</w:t>
            </w:r>
            <w:r w:rsidR="00CB7EC3" w:rsidRPr="00CB7EC3">
              <w:rPr>
                <w:rFonts w:ascii="Arial" w:hAnsi="Arial" w:cs="Arial"/>
                <w:spacing w:val="-1"/>
                <w:sz w:val="18"/>
              </w:rPr>
              <w:t xml:space="preserve"> </w:t>
            </w:r>
            <w:r w:rsidR="00CB7EC3">
              <w:rPr>
                <w:rFonts w:ascii="Arial" w:hAnsi="Arial" w:cs="Arial"/>
                <w:sz w:val="18"/>
              </w:rPr>
              <w:t>Prozent</w:t>
            </w:r>
          </w:p>
          <w:p w:rsidR="00CB7EC3" w:rsidRPr="00CB7EC3" w:rsidRDefault="007938C8" w:rsidP="007938C8">
            <w:pPr>
              <w:pStyle w:val="TableParagraph"/>
              <w:tabs>
                <w:tab w:val="left" w:pos="389"/>
              </w:tabs>
              <w:spacing w:before="160"/>
              <w:ind w:left="107" w:firstLine="0"/>
              <w:rPr>
                <w:rFonts w:ascii="Arial" w:hAnsi="Arial" w:cs="Arial"/>
                <w:sz w:val="18"/>
              </w:rPr>
            </w:pPr>
            <w:r>
              <w:rPr>
                <w:rFonts w:ascii="Arial" w:hAnsi="Arial" w:cs="Arial"/>
                <w:sz w:val="18"/>
              </w:rPr>
              <w:t xml:space="preserve">2. </w:t>
            </w:r>
            <w:r w:rsidR="00CB7EC3" w:rsidRPr="00CB7EC3">
              <w:rPr>
                <w:rFonts w:ascii="Arial" w:hAnsi="Arial" w:cs="Arial"/>
                <w:sz w:val="18"/>
              </w:rPr>
              <w:t>Jahr 60</w:t>
            </w:r>
            <w:r w:rsidR="00CB7EC3" w:rsidRPr="00CB7EC3">
              <w:rPr>
                <w:rFonts w:ascii="Arial" w:hAnsi="Arial" w:cs="Arial"/>
                <w:spacing w:val="-2"/>
                <w:sz w:val="18"/>
              </w:rPr>
              <w:t xml:space="preserve"> </w:t>
            </w:r>
            <w:r w:rsidR="00CB7EC3">
              <w:rPr>
                <w:rFonts w:ascii="Arial" w:hAnsi="Arial" w:cs="Arial"/>
                <w:sz w:val="18"/>
              </w:rPr>
              <w:t>Prozent</w:t>
            </w:r>
          </w:p>
          <w:p w:rsidR="00CB7EC3" w:rsidRPr="00CB7EC3" w:rsidRDefault="007938C8" w:rsidP="007938C8">
            <w:pPr>
              <w:pStyle w:val="TableParagraph"/>
              <w:tabs>
                <w:tab w:val="left" w:pos="389"/>
              </w:tabs>
              <w:spacing w:before="161"/>
              <w:ind w:left="107" w:firstLine="0"/>
              <w:rPr>
                <w:rFonts w:ascii="Arial" w:hAnsi="Arial" w:cs="Arial"/>
                <w:sz w:val="18"/>
              </w:rPr>
            </w:pPr>
            <w:r>
              <w:rPr>
                <w:rFonts w:ascii="Arial" w:hAnsi="Arial" w:cs="Arial"/>
                <w:sz w:val="18"/>
              </w:rPr>
              <w:t xml:space="preserve">3. </w:t>
            </w:r>
            <w:r w:rsidR="00CB7EC3" w:rsidRPr="00CB7EC3">
              <w:rPr>
                <w:rFonts w:ascii="Arial" w:hAnsi="Arial" w:cs="Arial"/>
                <w:sz w:val="18"/>
              </w:rPr>
              <w:t>Jahr 55</w:t>
            </w:r>
            <w:r w:rsidR="00CB7EC3" w:rsidRPr="00CB7EC3">
              <w:rPr>
                <w:rFonts w:ascii="Arial" w:hAnsi="Arial" w:cs="Arial"/>
                <w:spacing w:val="-2"/>
                <w:sz w:val="18"/>
              </w:rPr>
              <w:t xml:space="preserve"> </w:t>
            </w:r>
            <w:r w:rsidR="00CB7EC3">
              <w:rPr>
                <w:rFonts w:ascii="Arial" w:hAnsi="Arial" w:cs="Arial"/>
                <w:sz w:val="18"/>
              </w:rPr>
              <w:t>Prozent</w:t>
            </w:r>
          </w:p>
          <w:p w:rsidR="00CB7EC3" w:rsidRPr="00CB7EC3" w:rsidRDefault="00CB7EC3" w:rsidP="00CB7EC3">
            <w:pPr>
              <w:pStyle w:val="TableParagraph"/>
              <w:spacing w:before="162" w:line="360" w:lineRule="auto"/>
              <w:ind w:left="108" w:right="208" w:firstLine="0"/>
              <w:rPr>
                <w:rFonts w:ascii="Arial" w:hAnsi="Arial" w:cs="Arial"/>
                <w:sz w:val="18"/>
              </w:rPr>
            </w:pPr>
            <w:r>
              <w:rPr>
                <w:rFonts w:ascii="Arial" w:hAnsi="Arial" w:cs="Arial"/>
                <w:sz w:val="18"/>
              </w:rPr>
              <w:t>ab 4. Jahr 50 Prozent</w:t>
            </w:r>
            <w:r w:rsidRPr="00CB7EC3">
              <w:rPr>
                <w:rFonts w:ascii="Arial" w:hAnsi="Arial" w:cs="Arial"/>
                <w:sz w:val="18"/>
              </w:rPr>
              <w:t xml:space="preserve"> (dauerhaft) des Betriebs</w:t>
            </w:r>
            <w:r>
              <w:rPr>
                <w:rFonts w:ascii="Arial" w:hAnsi="Arial" w:cs="Arial"/>
                <w:sz w:val="18"/>
              </w:rPr>
              <w:t>kostendefizites zuzüglich je 5 Prozent</w:t>
            </w:r>
            <w:r w:rsidRPr="00CB7EC3">
              <w:rPr>
                <w:rFonts w:ascii="Arial" w:hAnsi="Arial" w:cs="Arial"/>
                <w:sz w:val="18"/>
              </w:rPr>
              <w:t>, wenn Me</w:t>
            </w:r>
            <w:r>
              <w:rPr>
                <w:rFonts w:ascii="Arial" w:hAnsi="Arial" w:cs="Arial"/>
                <w:sz w:val="18"/>
              </w:rPr>
              <w:t>hrheit der erbrachten Fahrplan-</w:t>
            </w:r>
            <w:r w:rsidRPr="00CB7EC3">
              <w:rPr>
                <w:rFonts w:ascii="Arial" w:hAnsi="Arial" w:cs="Arial"/>
                <w:sz w:val="18"/>
              </w:rPr>
              <w:t xml:space="preserve">kilometer in Region mit besonderem Handlungsbedarf </w:t>
            </w:r>
            <w:r>
              <w:rPr>
                <w:rFonts w:ascii="Arial" w:hAnsi="Arial" w:cs="Arial"/>
                <w:sz w:val="18"/>
              </w:rPr>
              <w:br/>
            </w:r>
            <w:r w:rsidRPr="00CB7EC3">
              <w:rPr>
                <w:rFonts w:ascii="Arial" w:hAnsi="Arial" w:cs="Arial"/>
                <w:sz w:val="18"/>
              </w:rPr>
              <w:t>(„RmbH-Gebiet“)</w:t>
            </w:r>
          </w:p>
        </w:tc>
      </w:tr>
    </w:tbl>
    <w:p w:rsidR="004E2F84" w:rsidRDefault="004E2F84" w:rsidP="004E2F84">
      <w:pPr>
        <w:pStyle w:val="LTAntwortRessortText"/>
      </w:pPr>
      <w:r>
        <w:t>c) Start der einzelnen Linien</w:t>
      </w:r>
    </w:p>
    <w:p w:rsidR="004E2F84" w:rsidRDefault="004E2F84" w:rsidP="004E2F84">
      <w:pPr>
        <w:pStyle w:val="LTAntwortRessortText"/>
      </w:pPr>
      <w:r>
        <w:t>Linie Nr. 1: Start zum Fahrplanwechsel am 12.12.2021 vorgesehen</w:t>
      </w:r>
    </w:p>
    <w:p w:rsidR="004E2F84" w:rsidRDefault="004E2F84" w:rsidP="004E2F84">
      <w:pPr>
        <w:pStyle w:val="LTAntwortRessortText"/>
      </w:pPr>
      <w:r>
        <w:t>Linie Nr. 3: verkehrt seit Januar 2018</w:t>
      </w:r>
    </w:p>
    <w:p w:rsidR="004E2F84" w:rsidRDefault="004E2F84" w:rsidP="004E2F84">
      <w:pPr>
        <w:pStyle w:val="LTAntwortRessortText"/>
      </w:pPr>
      <w:r>
        <w:t>Linie Nr. 5: Start nach aktuellem Stand zum Fahrplanwechsel 2023</w:t>
      </w:r>
    </w:p>
    <w:p w:rsidR="004E2F84" w:rsidRDefault="004E2F84" w:rsidP="004E2F84">
      <w:pPr>
        <w:pStyle w:val="LTAntwortRessortText"/>
      </w:pPr>
      <w:r>
        <w:t>Linie Nr. 7: Betriebsaufnahme am 1. Mai 2021 erfolgt</w:t>
      </w:r>
    </w:p>
    <w:p w:rsidR="004E2F84" w:rsidRDefault="004E2F84">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5699A" w:rsidTr="0045699A">
        <w:tc>
          <w:tcPr>
            <w:tcW w:w="1883" w:type="dxa"/>
          </w:tcPr>
          <w:p w:rsidR="0045699A" w:rsidRDefault="0043707C" w:rsidP="0045699A">
            <w:pPr>
              <w:pStyle w:val="LTAnfrageInitiator"/>
            </w:pPr>
            <w:r>
              <w:lastRenderedPageBreak/>
              <w:t>Abgeordnete</w:t>
            </w:r>
            <w:r w:rsidR="0045699A">
              <w:rPr>
                <w:b/>
              </w:rPr>
              <w:br/>
              <w:t>Tessa</w:t>
            </w:r>
            <w:r w:rsidR="0045699A">
              <w:rPr>
                <w:b/>
              </w:rPr>
              <w:br/>
              <w:t>Ganserer</w:t>
            </w:r>
            <w:r w:rsidR="0045699A">
              <w:rPr>
                <w:b/>
              </w:rPr>
              <w:br/>
            </w:r>
            <w:r w:rsidR="0045699A">
              <w:t>(BÜNDNIS 90/DIE GRÜNEN)</w:t>
            </w:r>
            <w:bookmarkStart w:id="23" w:name="Frage_Nr_11"/>
            <w:bookmarkEnd w:id="23"/>
          </w:p>
        </w:tc>
        <w:tc>
          <w:tcPr>
            <w:tcW w:w="5733" w:type="dxa"/>
          </w:tcPr>
          <w:p w:rsidR="0045699A" w:rsidRPr="00E85D1C" w:rsidRDefault="0045699A" w:rsidP="00E85D1C">
            <w:pPr>
              <w:pStyle w:val="LTAnfrageText"/>
            </w:pPr>
            <w:r w:rsidRPr="00E85D1C">
              <w:t>Ich frage die Staatsregierung, erkennt sie an, dass das Ziel des im Bundesverkehrswegeplans (BVWP) 2030 definierten Gesamtprojekts „Osttangente“ und seiner Teilprojekte nicht erreicht wird, plant die Staatsregierung, sich für eine Streichung des Projekts im BVWP einzusetzen und in welchem Rahmen sollen Planungen und Finanzierung stattdessen erfolgen?</w:t>
            </w:r>
          </w:p>
        </w:tc>
        <w:tc>
          <w:tcPr>
            <w:tcW w:w="5733" w:type="dxa"/>
          </w:tcPr>
          <w:p w:rsidR="0045699A" w:rsidRDefault="0045699A" w:rsidP="0045699A">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Die Osttangente Augsburg (B 2) ist im aktuellen Bedarfsplan für die Bundesfern-straßen mit vier separaten Teilprojekten in teilwe</w:t>
      </w:r>
      <w:r w:rsidR="0040502E">
        <w:t>ise unterschiedlichen Dringlich</w:t>
      </w:r>
      <w:r>
        <w:t>keiten enthalten. Der vierstreifige Ausbau der Kr</w:t>
      </w:r>
      <w:r w:rsidR="0040502E">
        <w:t>eisstraße AIC 25 zwischen der A 8 und der B </w:t>
      </w:r>
      <w:r>
        <w:t>300 und der vierstreifige Aus</w:t>
      </w:r>
      <w:r w:rsidR="00FD5972">
        <w:t>bau der Westumfahrung von Fried</w:t>
      </w:r>
      <w:r>
        <w:t>berg (</w:t>
      </w:r>
      <w:r w:rsidR="0040502E">
        <w:t>Chippenham-Ring) zwischen der B 300 und der B </w:t>
      </w:r>
      <w:r>
        <w:t>2 sowie der drei- oder vierstreifige Neubau der Ortsumfahrung Kissing/Mering sind im Vordringlichen Bedarf eingestuft. Der Freistaat hat damit den Auftrag des Bundes, diese Projekte zu planen und zu bauen. Das vierte Teilprojekt, d</w:t>
      </w:r>
      <w:r w:rsidR="00FD5972">
        <w:t>er drei- oder vierstreifige Neu</w:t>
      </w:r>
      <w:r w:rsidR="0040502E">
        <w:t>bau zwischen Mering und der B </w:t>
      </w:r>
      <w:r>
        <w:t>17, ist nicht im Vordringlichen Bedarf eingestuft, sondern nur im Weiteren Bedarf mit Planungsrecht. Der Freistaat hat deshalb derzeit keinen Auftrag des Bundes, eine neue Lechquerung zu bauen, könnte das Projekt aber planen.</w:t>
      </w:r>
    </w:p>
    <w:p w:rsidR="004E2F84" w:rsidRDefault="004E2F84" w:rsidP="004E2F84">
      <w:pPr>
        <w:pStyle w:val="LTAntwortRessortText"/>
      </w:pPr>
      <w:r>
        <w:t>Mit dem neuen Kon</w:t>
      </w:r>
      <w:r w:rsidR="0040502E">
        <w:t>zept für die Ertüchtigung der B </w:t>
      </w:r>
      <w:r>
        <w:t>2 und der derzeitigen Kreis-stra</w:t>
      </w:r>
      <w:r w:rsidR="0040502E">
        <w:t>ße AIC 25 zwischen Mering und der A </w:t>
      </w:r>
      <w:r>
        <w:t>8 hat das Staatliche Bauamt Augsburg einen Vorschlag gemacht, wie der Verkehr dort in Zukunft besser abgewickelt werden kann. Ziel des neuen Konzepts ist eine verträgliche</w:t>
      </w:r>
      <w:r w:rsidR="00FD5972">
        <w:t xml:space="preserve"> Lösung, die mit mög</w:t>
      </w:r>
      <w:r>
        <w:t xml:space="preserve">lichst geringen Eingriffen die bestehenden verkehrlichen Probleme löst. Das Konzept basiert weitestgehend auf dem Vordringlichen Bedarf des Bedarfsplans für die Bundesfernstraßen. So sind in allen Abschnitten, die im Bedarfsplan im Vordringlichen Bedarf enthalten sind, Ausbaumaßnahmen vorgesehen. Lediglich der Ausbaustandard wurde auf Grundlage der Ergebnisse einer neuen Verkehrsuntersuchung hinterfragt. Eine </w:t>
      </w:r>
      <w:r w:rsidR="0040502E">
        <w:t>neue Lechquerung zwischen der B </w:t>
      </w:r>
      <w:r>
        <w:t>17 und Mering ist im Vordringlichen Bedarf des Bedarfsplans nicht enthalten und deshalb auch nicht Teil des Konzepts.</w:t>
      </w:r>
    </w:p>
    <w:p w:rsidR="004E2F84" w:rsidRDefault="004E2F84" w:rsidP="004E2F84">
      <w:pPr>
        <w:pStyle w:val="LTAntwortRessortText"/>
      </w:pPr>
      <w:r>
        <w:t>Bei der Anmeldung des Projekts zum Bundesverkehrswegeplan wurd</w:t>
      </w:r>
      <w:r w:rsidR="0040502E">
        <w:t>e davon ausgegangen, dass die B </w:t>
      </w:r>
      <w:r>
        <w:t>17 durch den Bau einer Osttangente entlastet werden kann. Bereits bei der Verkehrsuntersuchung im Rahmen der Aufstellung des Bundesverkehrswegeplans hat sich jedoch geze</w:t>
      </w:r>
      <w:r w:rsidR="00FD5972">
        <w:t>igt, dass die gewünschte Entlas</w:t>
      </w:r>
      <w:r w:rsidR="0040502E">
        <w:t>tung der B </w:t>
      </w:r>
      <w:r>
        <w:t>17 durch eine neue Lechquerung nur sehr gering wäre. Die aktuelle, detailliertere Verkehrsuntersuchung des Staatlichen Bauamts hat di</w:t>
      </w:r>
      <w:r w:rsidR="00FD5972">
        <w:t>es nun bestä</w:t>
      </w:r>
      <w:r>
        <w:t>tigt.</w:t>
      </w:r>
    </w:p>
    <w:p w:rsidR="004E2F84" w:rsidRDefault="004E2F84" w:rsidP="004E2F84">
      <w:pPr>
        <w:pStyle w:val="LTAntwortRessortText"/>
      </w:pPr>
      <w:r>
        <w:t>Trotz der geringen Entlastung der</w:t>
      </w:r>
      <w:r w:rsidR="0040502E">
        <w:t xml:space="preserve"> B </w:t>
      </w:r>
      <w:r>
        <w:t>17 wurde das Projekt mit einem sehr hohen Nutzen-Kosten-Verhältnis von 6,1 bewertet u</w:t>
      </w:r>
      <w:r w:rsidR="00FD5972">
        <w:t>nd drei Teilprojekte in den Vor</w:t>
      </w:r>
      <w:r>
        <w:t xml:space="preserve">dringlichen Bedarf aufgenommen. Gründe für die gute Bewertung sind vor allem die Entlastung der Ortsdurchfahrt von Kissing </w:t>
      </w:r>
      <w:r w:rsidR="00FD5972">
        <w:t>und die Erhöhung der Verkehrssi</w:t>
      </w:r>
      <w:r>
        <w:t>cherheit.</w:t>
      </w:r>
    </w:p>
    <w:p w:rsidR="004E2F84" w:rsidRDefault="004E2F84" w:rsidP="004E2F84">
      <w:pPr>
        <w:pStyle w:val="LTAntwortRessortText"/>
      </w:pPr>
      <w:r>
        <w:t>Die Einstufung der drei Teilprojekte in den Vordringlichen Bedarf ist aus Sicht der Staatsregierung nachvollziehbar und richtig. Eine Änderung des Bedarfsplans</w:t>
      </w:r>
      <w:r w:rsidR="00FD5972">
        <w:t xml:space="preserve"> </w:t>
      </w:r>
      <w:r>
        <w:t>ist daher nicht veranlasst. Das Staatliche Baua</w:t>
      </w:r>
      <w:r w:rsidR="00FD5972">
        <w:t>mt wird die Planungen auf Grund</w:t>
      </w:r>
      <w:r>
        <w:t>lage des geltenden Bedarfsplans vorantreiben.</w:t>
      </w:r>
    </w:p>
    <w:p w:rsidR="004E2F84" w:rsidRDefault="004E2F84" w:rsidP="004E2F84">
      <w:pPr>
        <w:pStyle w:val="LTAntwortRessortText"/>
      </w:pPr>
      <w:r>
        <w:lastRenderedPageBreak/>
        <w:t>Im nörd</w:t>
      </w:r>
      <w:r w:rsidR="0040502E">
        <w:t>lichen Abschnitt zwischen der B 300 und der A 8, wo die Verkehrsbelas</w:t>
      </w:r>
      <w:r>
        <w:t xml:space="preserve">tung am höchsten ist, soll die Straße vierstreifig ausgebaut werden, </w:t>
      </w:r>
      <w:r w:rsidR="00FD5972">
        <w:t>um den Ver</w:t>
      </w:r>
      <w:r>
        <w:t>kehrsfluss zu verbessern. Dies entspricht den</w:t>
      </w:r>
      <w:r w:rsidR="0040502E">
        <w:t xml:space="preserve"> Vorgaben des Bedarfsplans, so</w:t>
      </w:r>
      <w:r>
        <w:t>dass die Maßnahme als Bedarfsplanmaßnahme finanziert werden kann.</w:t>
      </w:r>
    </w:p>
    <w:p w:rsidR="004E2F84" w:rsidRDefault="0040502E" w:rsidP="004E2F84">
      <w:pPr>
        <w:pStyle w:val="LTAntwortRessortText"/>
      </w:pPr>
      <w:r>
        <w:t>Zwischen Kissing und der B </w:t>
      </w:r>
      <w:r w:rsidR="004E2F84">
        <w:t>300, wo es an den Knotenpunkten zu Unfällen und Rückstaus kommt, sollen die Knotenpunkte u</w:t>
      </w:r>
      <w:r w:rsidR="00FD5972">
        <w:t>mgebaut werden, um hier punktge</w:t>
      </w:r>
      <w:r w:rsidR="004E2F84">
        <w:t>nau die Verkehrssicherheit und die Verkehrsqualität zu erhöhen. Die Maßnahmen können aus Um- und Ausbaumitteln des Bundes finanziert werden.</w:t>
      </w:r>
    </w:p>
    <w:p w:rsidR="004E2F84" w:rsidRDefault="004E2F84" w:rsidP="004E2F84">
      <w:pPr>
        <w:pStyle w:val="LTAntwortRessortText"/>
      </w:pPr>
      <w:r>
        <w:t>Im Bereich von Kissing, wo der Verkehr durch den Ort rollt, soll eine</w:t>
      </w:r>
      <w:r w:rsidR="00FD5972">
        <w:t xml:space="preserve"> Ortsumfah</w:t>
      </w:r>
      <w:r>
        <w:t>rung gebaut werden, um die Anwohner der</w:t>
      </w:r>
      <w:r w:rsidR="00FD5972">
        <w:t xml:space="preserve"> bestehe</w:t>
      </w:r>
      <w:r w:rsidR="0040502E">
        <w:t>nden B </w:t>
      </w:r>
      <w:r w:rsidR="00FD5972">
        <w:t>2 vom Durchgangs</w:t>
      </w:r>
      <w:r>
        <w:t xml:space="preserve">verkehr zu entlasten. Dabei werden die besonderen naturschutzfachlichen Randbedingungen bestmöglich berücksichtigt. Der geplante einbahnige Neubau ist von den Vorgaben des Bedarfsplans gedeckt, </w:t>
      </w:r>
      <w:r w:rsidR="0040502E">
        <w:t>so</w:t>
      </w:r>
      <w:r w:rsidR="00FD5972">
        <w:t>dass die Maßnahme dementspre</w:t>
      </w:r>
      <w:r>
        <w:t>chend finanziert werden kann.</w:t>
      </w:r>
    </w:p>
    <w:p w:rsidR="004E2F84" w:rsidRDefault="004E2F84">
      <w:bookmarkStart w:id="24" w:name="Frage_Nr_11_Ende"/>
      <w:bookmarkEnd w:id="2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5699A" w:rsidTr="0045699A">
        <w:tc>
          <w:tcPr>
            <w:tcW w:w="1854" w:type="dxa"/>
          </w:tcPr>
          <w:p w:rsidR="0045699A" w:rsidRDefault="0045699A" w:rsidP="0045699A">
            <w:pPr>
              <w:pStyle w:val="LTAnfrageInitiator"/>
            </w:pPr>
            <w:r>
              <w:lastRenderedPageBreak/>
              <w:t>Abgeordneter</w:t>
            </w:r>
            <w:r>
              <w:rPr>
                <w:b/>
              </w:rPr>
              <w:br/>
              <w:t>Volkmar</w:t>
            </w:r>
            <w:r>
              <w:rPr>
                <w:b/>
              </w:rPr>
              <w:br/>
              <w:t>Halbleib</w:t>
            </w:r>
            <w:r>
              <w:rPr>
                <w:b/>
              </w:rPr>
              <w:br/>
            </w:r>
            <w:r>
              <w:t>(SPD)</w:t>
            </w:r>
            <w:bookmarkStart w:id="25" w:name="Frage_Nr_12"/>
            <w:bookmarkEnd w:id="25"/>
          </w:p>
        </w:tc>
        <w:tc>
          <w:tcPr>
            <w:tcW w:w="5762" w:type="dxa"/>
          </w:tcPr>
          <w:p w:rsidR="0045699A" w:rsidRPr="00E85D1C" w:rsidRDefault="0045699A" w:rsidP="00EE1357">
            <w:pPr>
              <w:pStyle w:val="LTAnfrageText"/>
            </w:pPr>
            <w:r w:rsidRPr="00E85D1C">
              <w:t>Vor dem Hintergrund eines „Grobkostencheck</w:t>
            </w:r>
            <w:r w:rsidR="00EE1357">
              <w:t>s“ der DB Station&amp;</w:t>
            </w:r>
            <w:r w:rsidRPr="00E85D1C">
              <w:t>Service AG vom 01.10.2019 für den barrierefreien Ausbau des Bahnhofs Ochsenfurt, Landkreis Würzburg, und dem von der Stadt Ochsenfurt eingerichteten Runden Tisch sowie im Hinblick auf das Schreiben von</w:t>
            </w:r>
            <w:r w:rsidR="0040502E">
              <w:t xml:space="preserve"> Herrn Staatsminister a. D. Dr. </w:t>
            </w:r>
            <w:r w:rsidRPr="00E85D1C">
              <w:t>Hans Reichhart vom 29.01.2020 an die örtlichen Landtagsabgeordneten, frage ich die Staatsregierung erneut, welche konkrete Notwendigkeiten und Perspektiven sie für den barrierefreien Ausbau des Bahnhofes sieht, welche Priorität sie der barrierefreien Herrichtung des Bahnhofes Ochsenfurt zumisst und welche aktuellen Förderprogramme des Freistaates und des Bundes für die Erstellung einer baulichen Machbarkeitsstudie für die barrierefreie Ertüchtigung des Bahnhofs Ochsenfurt konkret zur Verfügung stehen (falls nicht, bitte unter Angabe der Begründung)? </w:t>
            </w:r>
          </w:p>
        </w:tc>
        <w:tc>
          <w:tcPr>
            <w:tcW w:w="5762" w:type="dxa"/>
          </w:tcPr>
          <w:p w:rsidR="0045699A" w:rsidRDefault="0045699A" w:rsidP="0045699A">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 xml:space="preserve">Gemäß Grundgesetz ist der Bund für den Ausbau und Erhalt der DB-Schieneninfrastruktur verantwortlich und damit </w:t>
      </w:r>
      <w:r w:rsidR="00FD5972">
        <w:t>auch für den barrierefreien Aus</w:t>
      </w:r>
      <w:r>
        <w:t xml:space="preserve">bau des Bahnhofs Ochsenfurt, nachdem sich </w:t>
      </w:r>
      <w:r w:rsidR="00FD5972">
        <w:t>dieser im Eigentum der DB Stati</w:t>
      </w:r>
      <w:r>
        <w:t>on&amp;Service AG befindet.</w:t>
      </w:r>
    </w:p>
    <w:p w:rsidR="004E2F84" w:rsidRDefault="004E2F84" w:rsidP="004E2F84">
      <w:pPr>
        <w:pStyle w:val="LTAntwortRessortText"/>
      </w:pPr>
      <w:r>
        <w:t xml:space="preserve">Aus Sicht der Staatsregierung besteht eine hohe Priorität, gerade </w:t>
      </w:r>
      <w:r w:rsidR="0040502E">
        <w:t>Stationen mit mehr als 1 </w:t>
      </w:r>
      <w:r>
        <w:t>000 Ein- und Aussteigern, zu denen auch Ochsenfurt gehört, so schnell</w:t>
      </w:r>
      <w:r w:rsidR="00FD5972">
        <w:t xml:space="preserve"> </w:t>
      </w:r>
      <w:r>
        <w:t>wie möglich barrierefrei auszubauen. Hierfür gibt es jedoch im Freistaat bei noch</w:t>
      </w:r>
      <w:r w:rsidR="00FD5972">
        <w:t xml:space="preserve"> </w:t>
      </w:r>
      <w:r>
        <w:t>rund 100 Stationen in dieser Kategorie einen Investitionsbedarf von insgesamt</w:t>
      </w:r>
      <w:r w:rsidR="00FD5972">
        <w:t xml:space="preserve"> </w:t>
      </w:r>
      <w:r>
        <w:t xml:space="preserve">rund 1 </w:t>
      </w:r>
      <w:r w:rsidR="0040502E">
        <w:t>Mrd.</w:t>
      </w:r>
      <w:r>
        <w:t xml:space="preserve"> Euro.</w:t>
      </w:r>
    </w:p>
    <w:p w:rsidR="004E2F84" w:rsidRDefault="004E2F84" w:rsidP="004E2F84">
      <w:pPr>
        <w:pStyle w:val="LTAntwortRessortText"/>
      </w:pPr>
      <w:r>
        <w:t>Der Bund hat zuletzt ein neues Barrierefreiheitsprogramm für Bahnstationen zwischen</w:t>
      </w:r>
      <w:r w:rsidR="00FD5972">
        <w:t xml:space="preserve"> </w:t>
      </w:r>
      <w:r w:rsidR="0040502E">
        <w:t>1 000 und 4 </w:t>
      </w:r>
      <w:r>
        <w:t>000 Ein- und Aussteigern aufgelegt, bei dem die Länder hälftig</w:t>
      </w:r>
      <w:r w:rsidR="00FD5972">
        <w:t xml:space="preserve"> </w:t>
      </w:r>
      <w:r>
        <w:t>kofinanzieren müssen. Die Staatsregierung hatte den Bahnhof Ochsenfurt hierfür</w:t>
      </w:r>
      <w:r w:rsidR="00FD5972">
        <w:t xml:space="preserve"> </w:t>
      </w:r>
      <w:r>
        <w:t>beim Bund gemeldet. Aufgrund der vom Bund vorgegebenen geringen Dotierung</w:t>
      </w:r>
      <w:r w:rsidR="00FD5972">
        <w:t xml:space="preserve"> </w:t>
      </w:r>
      <w:r>
        <w:t>sind jedoch lediglich zwei Projekte aus Bayern vom Bund berücksichtigt worden.</w:t>
      </w:r>
      <w:r w:rsidR="00334A46">
        <w:t xml:space="preserve"> </w:t>
      </w:r>
      <w:r>
        <w:t>Dabei sind mit Kaufbeuren und Gunzenhausen Stationen zum Zuge gekommen,</w:t>
      </w:r>
      <w:r w:rsidR="00FD5972">
        <w:t xml:space="preserve"> </w:t>
      </w:r>
      <w:r>
        <w:t>die auch Knotenbahnhöfe sind.</w:t>
      </w:r>
    </w:p>
    <w:p w:rsidR="004E2F84" w:rsidRDefault="004E2F84" w:rsidP="004E2F84">
      <w:pPr>
        <w:pStyle w:val="LTAntwortRessortText"/>
      </w:pPr>
      <w:r>
        <w:t>Gemäß Auskunft der DB Station&amp;Service AG gibt es aktuell keine Perspektiven</w:t>
      </w:r>
      <w:r w:rsidR="00FD5972">
        <w:t xml:space="preserve"> </w:t>
      </w:r>
      <w:r>
        <w:t>für einen barrierefreien Ausbau des Ochsenfurter Bahnhofs. Nach Kenntnis der</w:t>
      </w:r>
      <w:r w:rsidR="00FD5972">
        <w:t xml:space="preserve"> </w:t>
      </w:r>
      <w:r>
        <w:t>Staatsregierung will insbesondere das Bundesministerium für Finanzen kein Planungsvorratsprogramm</w:t>
      </w:r>
      <w:r w:rsidR="00FD5972">
        <w:t xml:space="preserve"> </w:t>
      </w:r>
      <w:r>
        <w:t>für barrierefreie Stationsausbauten mehr zulassen.</w:t>
      </w:r>
    </w:p>
    <w:p w:rsidR="004E2F84" w:rsidRDefault="004E2F84" w:rsidP="00FD5972">
      <w:pPr>
        <w:pStyle w:val="LTAntwortRessortText"/>
      </w:pPr>
      <w:r>
        <w:t>Auch im Rahmen der freiwilligen Finanzierungsaktivitäten des Freistaat</w:t>
      </w:r>
      <w:r w:rsidR="00FD5972">
        <w:t>e</w:t>
      </w:r>
      <w:r>
        <w:t>s zum</w:t>
      </w:r>
      <w:r w:rsidR="00FD5972">
        <w:t xml:space="preserve"> </w:t>
      </w:r>
      <w:r>
        <w:t>barrierefreien Stationsausbau ist derzeit keine Ausweitung der Förderung von</w:t>
      </w:r>
      <w:r w:rsidR="00FD5972">
        <w:t xml:space="preserve"> </w:t>
      </w:r>
      <w:r>
        <w:t>Vorratsplanungen möglich. Zur Beschleunigung des Vorhabens könnten die Kosten</w:t>
      </w:r>
      <w:r w:rsidR="00FD5972">
        <w:t xml:space="preserve"> </w:t>
      </w:r>
      <w:r>
        <w:t>für eine Vorplanung durch die Stadt Ochsenfurt übernommen werden, wie es</w:t>
      </w:r>
      <w:r w:rsidR="00FD5972">
        <w:t xml:space="preserve"> </w:t>
      </w:r>
      <w:r>
        <w:t>auch schon von einigen anderen Kommunen im Freistaat praktiziert worden ist.</w:t>
      </w:r>
      <w:bookmarkStart w:id="26" w:name="Frage_Nr_12_Ende"/>
      <w:bookmarkEnd w:id="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D3FE7" w:rsidTr="009D3FE7">
        <w:tc>
          <w:tcPr>
            <w:tcW w:w="1883" w:type="dxa"/>
          </w:tcPr>
          <w:p w:rsidR="009D3FE7" w:rsidRDefault="009D3FE7" w:rsidP="009D3FE7">
            <w:pPr>
              <w:pStyle w:val="LTAnfrageInitiator"/>
            </w:pPr>
            <w:r>
              <w:lastRenderedPageBreak/>
              <w:t>Abgeordneter</w:t>
            </w:r>
            <w:r>
              <w:rPr>
                <w:b/>
              </w:rPr>
              <w:br/>
              <w:t>Jürgen</w:t>
            </w:r>
            <w:r>
              <w:rPr>
                <w:b/>
              </w:rPr>
              <w:br/>
              <w:t>Mistol</w:t>
            </w:r>
            <w:r>
              <w:rPr>
                <w:b/>
              </w:rPr>
              <w:br/>
            </w:r>
            <w:r>
              <w:t>(BÜNDNIS 90/DIE GRÜNEN)</w:t>
            </w:r>
            <w:bookmarkStart w:id="27" w:name="Frage_Nr_13"/>
            <w:bookmarkEnd w:id="27"/>
          </w:p>
        </w:tc>
        <w:tc>
          <w:tcPr>
            <w:tcW w:w="5733" w:type="dxa"/>
          </w:tcPr>
          <w:p w:rsidR="009D3FE7" w:rsidRPr="00E85D1C" w:rsidRDefault="009D3FE7" w:rsidP="00E85D1C">
            <w:pPr>
              <w:pStyle w:val="LTAnfrageText"/>
            </w:pPr>
            <w:r w:rsidRPr="00E85D1C">
              <w:t>Nachdem das Baulandmobilisierungsgesetz in Kraft getreten ist frage ich die Staatsregierung, bis wann sie die notwendige Rechtsverordnung umsetzen will, um für Kommunen die Voraussetzung für die Anwendung von Vorkaufsrecht, Baugebot und Umwandlungsverbot zu schaffen, inwiefern wird sie die betroffenen Städte und Gemeinden daran beteiligen und wird sie in diesem Zusammenhang auch die Mieterschutzverordnung als rechtliche Grundlage für die Mietpreisbremse verlängern?</w:t>
            </w:r>
          </w:p>
        </w:tc>
        <w:tc>
          <w:tcPr>
            <w:tcW w:w="5733" w:type="dxa"/>
          </w:tcPr>
          <w:p w:rsidR="009D3FE7" w:rsidRDefault="009D3FE7" w:rsidP="009D3FE7">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 xml:space="preserve">Hinsichtlich der Frage, ob die Staatsregierung </w:t>
      </w:r>
      <w:r w:rsidR="00FD5972">
        <w:t>von den beiden voneinander unab</w:t>
      </w:r>
      <w:r>
        <w:t>hängigen Ermächtigungsgrundlagen in § 201a Baugesetzbuch (BauGB) und</w:t>
      </w:r>
      <w:r w:rsidR="00FD5972">
        <w:t xml:space="preserve"> </w:t>
      </w:r>
      <w:r>
        <w:t>§ 250 BauGB Gebrauch machen wird, ist die Meinungsbildung innerhalb der Staatsregierung noch nicht abgeschlossen.</w:t>
      </w:r>
    </w:p>
    <w:p w:rsidR="004E2F84" w:rsidRDefault="004E2F84" w:rsidP="004E2F84">
      <w:pPr>
        <w:pStyle w:val="LTAntwortRessortText"/>
      </w:pPr>
      <w:r>
        <w:t>§ 201a Satz 8 BauGB sieht vor, dass vor dem Erlass der Rechtsverordnung die betroffenen Gemeinden und die auf Landesebene bestehenden kommunalen</w:t>
      </w:r>
      <w:r w:rsidR="00FD5972">
        <w:t xml:space="preserve"> Spit</w:t>
      </w:r>
      <w:r>
        <w:t>zenverbände gehört werden sollen.</w:t>
      </w:r>
    </w:p>
    <w:p w:rsidR="004E2F84" w:rsidRDefault="004E2F84" w:rsidP="004E2F84">
      <w:pPr>
        <w:pStyle w:val="LTAntwortRessortText"/>
      </w:pPr>
      <w:r>
        <w:t>Die geltende Mieterschutzverordnung tritt nach aktuellem Stand mit Ablauf des 31. Dezember 2021 außer Kraft. Der Erlass einer aktualisierten Neufassung der Mieterschutzverordnung wird derzeit durch das Staatsminister</w:t>
      </w:r>
      <w:r w:rsidR="00FD5972">
        <w:t>ium der Justiz vor</w:t>
      </w:r>
      <w:r>
        <w:t>bereitet.</w:t>
      </w:r>
    </w:p>
    <w:p w:rsidR="004E2F84" w:rsidRDefault="004E2F84">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D3FE7" w:rsidTr="009D3FE7">
        <w:tc>
          <w:tcPr>
            <w:tcW w:w="1883" w:type="dxa"/>
          </w:tcPr>
          <w:p w:rsidR="009D3FE7" w:rsidRDefault="009D3FE7" w:rsidP="009D3FE7">
            <w:pPr>
              <w:pStyle w:val="LTAnfrageInitiator"/>
            </w:pPr>
            <w:r>
              <w:lastRenderedPageBreak/>
              <w:t>Abgeordneter</w:t>
            </w:r>
            <w:r>
              <w:rPr>
                <w:b/>
              </w:rPr>
              <w:br/>
              <w:t>Toni</w:t>
            </w:r>
            <w:r>
              <w:rPr>
                <w:b/>
              </w:rPr>
              <w:br/>
              <w:t>Schuberl</w:t>
            </w:r>
            <w:r>
              <w:rPr>
                <w:b/>
              </w:rPr>
              <w:br/>
            </w:r>
            <w:r>
              <w:t>(BÜNDNIS 90/DIE GRÜNEN)</w:t>
            </w:r>
            <w:bookmarkStart w:id="29" w:name="Frage_Nr_14"/>
            <w:bookmarkEnd w:id="29"/>
          </w:p>
        </w:tc>
        <w:tc>
          <w:tcPr>
            <w:tcW w:w="5733" w:type="dxa"/>
          </w:tcPr>
          <w:p w:rsidR="009D3FE7" w:rsidRPr="00E85D1C" w:rsidRDefault="009D3FE7" w:rsidP="00E85D1C">
            <w:pPr>
              <w:pStyle w:val="LTAnfrageText"/>
            </w:pPr>
            <w:r w:rsidRPr="00E85D1C">
              <w:t>Ich frage die Staatsregierung, welche Überlegungen gibt es seitens der Staatsregierung zu einem Infrastrukturgesetz oder zu einer Infrastrukturrichtlinie, damit sich der Freistaat an der Finanzierung von Eisenbahninfrastruktur bei Reaktivierungen beteiligen kann, wie sollen nach Auffassung der Staatsregierung touristische Verkehre auf der Schiene gefördert werden und wie kann aus Sicht der Staatsregierung z. B. durch Einbindung der LfA Förderbank Bayern erreicht werden, dass die Bestellgarantie, die die Bayerische Eisenbahngesellschaft gegenüber Eisenbahninfrastrukturunternehmen ausspricht, von Kreditinstituten als Sicherheit anerkannt wird?</w:t>
            </w:r>
          </w:p>
        </w:tc>
        <w:tc>
          <w:tcPr>
            <w:tcW w:w="5733" w:type="dxa"/>
          </w:tcPr>
          <w:p w:rsidR="009D3FE7" w:rsidRDefault="009D3FE7" w:rsidP="009D3FE7">
            <w:pPr>
              <w:pStyle w:val="LTAnfrageText"/>
            </w:pPr>
          </w:p>
        </w:tc>
      </w:tr>
    </w:tbl>
    <w:p w:rsidR="004E2F84" w:rsidRDefault="004E2F84" w:rsidP="004E2F84">
      <w:pPr>
        <w:pStyle w:val="LTUeberschrAntwortRessort"/>
      </w:pPr>
      <w:r>
        <w:t>Antwort des Staatsministeriums für Wohnen, Bau und Verkehr</w:t>
      </w:r>
    </w:p>
    <w:p w:rsidR="004E2F84" w:rsidRDefault="004E2F84" w:rsidP="004E2F84">
      <w:pPr>
        <w:pStyle w:val="LTAntwortRessortText"/>
      </w:pPr>
      <w:r>
        <w:t>Hinsichtlich der Frage, ob und wie die Rahmenbedingungen für Reaktivierungen für den SPNV, für touristische Verkehre oder Schienengüterverkehr verbessert werden können, ist die Meinungsbildung innerhalb der Staatsregierung noch nicht abgeschlossen.</w:t>
      </w:r>
    </w:p>
    <w:p w:rsidR="004E2F84" w:rsidRDefault="004E2F84" w:rsidP="004E2F84">
      <w:pPr>
        <w:pStyle w:val="LTAntwortRessortText"/>
      </w:pPr>
      <w:r>
        <w:t>Was die Sicherungswirkung von Bestellgarantien bei Reaktivierungen gegenüber Kreditinstituten angeht, ist eine weitergehend</w:t>
      </w:r>
      <w:r w:rsidR="00FD5972">
        <w:t>e Garantie im Sinne einer bedin</w:t>
      </w:r>
      <w:r>
        <w:t>gungslosen Ausfallbürgschaft durch den Freistaa</w:t>
      </w:r>
      <w:r w:rsidR="00FD5972">
        <w:t>t nicht möglich und nicht vorge</w:t>
      </w:r>
      <w:r>
        <w:t>sehen, da ansonsten der Freistaat im äußersten Fall direkte Infrastrukturnutzungsentgelte für eine nicht zur Verfügung stehende Infrastruktur ohne bestehenden</w:t>
      </w:r>
      <w:r w:rsidR="00FD5972">
        <w:t xml:space="preserve"> </w:t>
      </w:r>
      <w:r>
        <w:t>Schienenpersonennahverkehr entrichten müss</w:t>
      </w:r>
      <w:r w:rsidR="00FD5972">
        <w:t>te. Insbesondere mit dem Gemein</w:t>
      </w:r>
      <w:r>
        <w:t>deverkehrsfinanzierungsgesetz des Bundes (GVFG) ist bereits eine Verbesserung der Finanzierungsmöglichkeiten für reaktivierungs</w:t>
      </w:r>
      <w:r w:rsidR="00FD5972">
        <w:t>bedingte Infrastrukturinvestiti</w:t>
      </w:r>
      <w:r>
        <w:t>onen gegeben. Eine Refinanzierung der verbleibenden Eigenanteile kann dann aus den laufenden Infrastrukturnutzungsentgelten geleistet werden.</w:t>
      </w:r>
    </w:p>
    <w:p w:rsidR="004E2F84" w:rsidRDefault="004E2F84">
      <w:bookmarkStart w:id="30" w:name="Frage_Nr_14_Ende"/>
      <w:bookmarkEnd w:id="30"/>
      <w:r>
        <w:br w:type="page"/>
      </w:r>
    </w:p>
    <w:p w:rsidR="004E2F84" w:rsidRDefault="004E2F84" w:rsidP="004E2F84">
      <w:pPr>
        <w:pStyle w:val="LTUeberschrRessort"/>
      </w:pPr>
      <w:r>
        <w:lastRenderedPageBreak/>
        <w:t>Geschäftsbereich des Staatsministeriums der Justiz</w:t>
      </w:r>
    </w:p>
    <w:tbl>
      <w:tblPr>
        <w:tblStyle w:val="Tabellenraster"/>
        <w:tblW w:w="133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2"/>
        <w:gridCol w:w="5694"/>
        <w:gridCol w:w="5694"/>
      </w:tblGrid>
      <w:tr w:rsidR="009D3FE7" w:rsidTr="009D3FE7">
        <w:tc>
          <w:tcPr>
            <w:tcW w:w="1922" w:type="dxa"/>
          </w:tcPr>
          <w:p w:rsidR="009D3FE7" w:rsidRDefault="009D3FE7" w:rsidP="009D3FE7">
            <w:pPr>
              <w:pStyle w:val="LTAnfrageInitiator"/>
            </w:pPr>
            <w:r>
              <w:t>Abgeordneter</w:t>
            </w:r>
            <w:r>
              <w:rPr>
                <w:b/>
              </w:rPr>
              <w:br/>
              <w:t>Richard</w:t>
            </w:r>
            <w:r>
              <w:rPr>
                <w:b/>
              </w:rPr>
              <w:br/>
              <w:t>Graupner</w:t>
            </w:r>
            <w:r>
              <w:rPr>
                <w:b/>
              </w:rPr>
              <w:br/>
            </w:r>
            <w:r>
              <w:t>(AfD)</w:t>
            </w:r>
            <w:bookmarkStart w:id="31" w:name="Frage_Nr_15"/>
            <w:bookmarkEnd w:id="31"/>
          </w:p>
        </w:tc>
        <w:tc>
          <w:tcPr>
            <w:tcW w:w="5694" w:type="dxa"/>
          </w:tcPr>
          <w:p w:rsidR="009D3FE7" w:rsidRPr="00E85D1C" w:rsidRDefault="009D3FE7" w:rsidP="004A495D">
            <w:pPr>
              <w:pStyle w:val="LTAnfrageText"/>
            </w:pPr>
            <w:r w:rsidRPr="00E85D1C">
              <w:t>Vor dem Hintergrund eines Berichts in der Allgäuer Zeitung vom 15.09.2020, eines Online-Artikels der „Taz“ vom 04.11.2020</w:t>
            </w:r>
            <w:r w:rsidRPr="0040502E">
              <w:rPr>
                <w:vertAlign w:val="superscript"/>
              </w:rPr>
              <w:footnoteReference w:id="1"/>
            </w:r>
            <w:r w:rsidRPr="00E85D1C">
              <w:t xml:space="preserve"> und der Auskunft der Staatsregierung auf meine Anfrage zum Plenum zur Plenarsitzung am 13.10.2020 (Drs. 18/10694), wonach auf der Internetseite </w:t>
            </w:r>
            <w:hyperlink r:id="rId13" w:history="1">
              <w:r w:rsidRPr="0040502E">
                <w:rPr>
                  <w:rStyle w:val="LTHyperlinkZchn"/>
                  <w:b w:val="0"/>
                </w:rPr>
                <w:t>https://www.allgaeu-rechtsaussen.de</w:t>
              </w:r>
            </w:hyperlink>
            <w:r w:rsidRPr="00E85D1C">
              <w:t xml:space="preserve"> illegalerweise eine heimlich gemachte Tonaufna</w:t>
            </w:r>
            <w:r w:rsidR="004A495D">
              <w:t>hme veröffentlicht wurde, woraufhin</w:t>
            </w:r>
            <w:r w:rsidRPr="00E85D1C">
              <w:t xml:space="preserve"> eine Person wegen Verletzung der Vertraulichkeit des Wortes vom Amtsgerichts Kaufbeuren verurteilt worden ist und die Polizei die Tat dem Phänomenbereich Politisch Motivierte Kriminalität -links zugeordnet hat, frage ich die Staatsregierung, ob das Urteil mittlerweile rechtskräftig ist, wenn nein, wie der Verfahrensstand ist und wie ggf. das Strafmaß ausfiel?</w:t>
            </w:r>
          </w:p>
        </w:tc>
        <w:tc>
          <w:tcPr>
            <w:tcW w:w="5694" w:type="dxa"/>
          </w:tcPr>
          <w:p w:rsidR="009D3FE7" w:rsidRDefault="009D3FE7" w:rsidP="009D3FE7">
            <w:pPr>
              <w:pStyle w:val="LTAnfrageText"/>
            </w:pPr>
          </w:p>
        </w:tc>
      </w:tr>
    </w:tbl>
    <w:p w:rsidR="004E2F84" w:rsidRDefault="004E2F84" w:rsidP="004E2F84">
      <w:pPr>
        <w:pStyle w:val="LTUeberschrAntwortRessort"/>
      </w:pPr>
      <w:r>
        <w:t>Antwort des Staatsministeriums der Justiz</w:t>
      </w:r>
    </w:p>
    <w:p w:rsidR="004E2F84" w:rsidRDefault="004E2F84" w:rsidP="004E2F84">
      <w:pPr>
        <w:pStyle w:val="LTAntwortRessortText"/>
      </w:pPr>
      <w:r>
        <w:t xml:space="preserve">Das Verfahren wurde in der Berufungsinstanz durch gerichtlichen Beschluss vom </w:t>
      </w:r>
      <w:r w:rsidR="0040502E">
        <w:t>18.12.</w:t>
      </w:r>
      <w:r>
        <w:t xml:space="preserve">2020 nach Zahlung einer Geldauflage gemäß § 153a Abs. 2 </w:t>
      </w:r>
      <w:r w:rsidR="0040502E">
        <w:t xml:space="preserve">Strafprozessordnung </w:t>
      </w:r>
      <w:r>
        <w:t>endgültig eingestellt.</w:t>
      </w:r>
    </w:p>
    <w:p w:rsidR="004E2F84" w:rsidRDefault="004E2F84">
      <w:bookmarkStart w:id="32" w:name="Frage_Nr_15_Ende"/>
      <w:bookmarkEnd w:id="3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9D3FE7" w:rsidTr="009D3FE7">
        <w:tc>
          <w:tcPr>
            <w:tcW w:w="1852" w:type="dxa"/>
          </w:tcPr>
          <w:p w:rsidR="009D3FE7" w:rsidRDefault="009D3FE7" w:rsidP="009D3FE7">
            <w:pPr>
              <w:pStyle w:val="LTAnfrageInitiator"/>
            </w:pPr>
            <w:r>
              <w:lastRenderedPageBreak/>
              <w:t>Abgeordneter</w:t>
            </w:r>
            <w:r>
              <w:rPr>
                <w:b/>
              </w:rPr>
              <w:br/>
              <w:t>Helmut</w:t>
            </w:r>
            <w:r>
              <w:rPr>
                <w:b/>
              </w:rPr>
              <w:br/>
              <w:t>Markwort</w:t>
            </w:r>
            <w:r>
              <w:rPr>
                <w:b/>
              </w:rPr>
              <w:br/>
            </w:r>
            <w:r>
              <w:t>(FDP)</w:t>
            </w:r>
            <w:bookmarkStart w:id="33" w:name="Frage_Nr_16"/>
            <w:bookmarkEnd w:id="33"/>
          </w:p>
        </w:tc>
        <w:tc>
          <w:tcPr>
            <w:tcW w:w="5764" w:type="dxa"/>
          </w:tcPr>
          <w:p w:rsidR="009D3FE7" w:rsidRPr="00E85D1C" w:rsidRDefault="009D3FE7" w:rsidP="00E85D1C">
            <w:pPr>
              <w:pStyle w:val="LTAnfrageText"/>
            </w:pPr>
            <w:r w:rsidRPr="00E85D1C">
              <w:t>Ich frage die Staatsregierung, ob sie Kenntnis darüber hat, wer den ehemaligen Vorstandsvorsitzenden von Wirecard, Herrn Dr. Markus Braun, am 18.06.2020 durch eine Nachricht um 12.48 Uhr vor einer geplanten Verhaftung gewarnt hat (siehe Abschlussbericht des 3. Untersuchungsausschusses des Deutschen Bundestags, BT-Drs. 19/30900, Seite 1 855), welche Untersuchungen die Staatsanwaltschaft zur Aufklärung dieses Informationslecks unternommen hat und welche Erkenntnisse dazu bis heute vorliegen?</w:t>
            </w:r>
          </w:p>
        </w:tc>
        <w:tc>
          <w:tcPr>
            <w:tcW w:w="5764" w:type="dxa"/>
          </w:tcPr>
          <w:p w:rsidR="009D3FE7" w:rsidRDefault="009D3FE7" w:rsidP="009D3FE7">
            <w:pPr>
              <w:pStyle w:val="LTAnfrageText"/>
            </w:pPr>
          </w:p>
        </w:tc>
      </w:tr>
    </w:tbl>
    <w:p w:rsidR="004E2F84" w:rsidRDefault="004E2F84" w:rsidP="004E2F84">
      <w:pPr>
        <w:pStyle w:val="LTUeberschrAntwortRessort"/>
      </w:pPr>
      <w:r>
        <w:t>Antwort des Staatsministeriums der Justiz</w:t>
      </w:r>
    </w:p>
    <w:p w:rsidR="004E2F84" w:rsidRDefault="004E2F84" w:rsidP="004E2F84">
      <w:pPr>
        <w:pStyle w:val="LTAntwortRessortText"/>
      </w:pPr>
      <w:r>
        <w:t>Nach Auskunft der Staatsanwalt</w:t>
      </w:r>
      <w:r w:rsidR="0040502E">
        <w:t>schaft München I bestand am 18.06.2</w:t>
      </w:r>
      <w:r>
        <w:t>020, dem Tag der Bekanntgabe der Verweigerung eines T</w:t>
      </w:r>
      <w:r w:rsidR="00FD5972">
        <w:t>estats im Hinblick auf die Wire</w:t>
      </w:r>
      <w:r>
        <w:t>card AG, noch kein Haftbefehl gegen den Beschuldigten Dr. Markus Braun. Gegen den Beschuldigten Braun wurde erstmals am 22</w:t>
      </w:r>
      <w:r w:rsidR="00FD5972">
        <w:t>.</w:t>
      </w:r>
      <w:r w:rsidR="0040502E">
        <w:t>06.</w:t>
      </w:r>
      <w:r w:rsidR="00FD5972">
        <w:t>2020 ein Haftbefehl bean</w:t>
      </w:r>
      <w:r>
        <w:t>tragt, der noch am selben Tag durch den Ermittlungsrichter erlassen und von der Staatsanwaltschaft vollzogen wurde.</w:t>
      </w:r>
    </w:p>
    <w:p w:rsidR="004E2F84" w:rsidRDefault="004E2F84" w:rsidP="004E2F84">
      <w:pPr>
        <w:pStyle w:val="LTAntwortRessortText"/>
      </w:pPr>
      <w:r>
        <w:t>Ein realer Hintergrund für die Angabe in der auf Seite 1</w:t>
      </w:r>
      <w:r w:rsidR="004A495D">
        <w:t> </w:t>
      </w:r>
      <w:r>
        <w:t>855 des Abschlussberichts des 3. Untersuchungsausschusses der 19. Wahlperiode (</w:t>
      </w:r>
      <w:r w:rsidR="003F1661">
        <w:t>„</w:t>
      </w:r>
      <w:r>
        <w:t>Wirecard</w:t>
      </w:r>
      <w:r w:rsidR="003F1661">
        <w:t>“</w:t>
      </w:r>
      <w:r>
        <w:t>) a</w:t>
      </w:r>
      <w:r w:rsidR="0040502E">
        <w:t>ufgeführten E-Mail vom 18.06.2020 um 12.</w:t>
      </w:r>
      <w:r>
        <w:t xml:space="preserve">48 Uhr, dass </w:t>
      </w:r>
      <w:r w:rsidR="003F1661">
        <w:t>„</w:t>
      </w:r>
      <w:r>
        <w:t>um 14.30 Uhr</w:t>
      </w:r>
      <w:r w:rsidR="003F1661">
        <w:t>“</w:t>
      </w:r>
      <w:r w:rsidR="00FD5972">
        <w:t xml:space="preserve"> ein Haftbefehl ge</w:t>
      </w:r>
      <w:r>
        <w:t>gen den Beschuldigten Braun vollstreckt werde, ist daher nicht gegeben.</w:t>
      </w:r>
    </w:p>
    <w:p w:rsidR="004E2F84" w:rsidRDefault="004E2F84" w:rsidP="004E2F84">
      <w:pPr>
        <w:pStyle w:val="LTAntwortRessortText"/>
      </w:pPr>
      <w:r>
        <w:t xml:space="preserve">Nach Mitteilung der Staatsanwaltschaft München </w:t>
      </w:r>
      <w:r w:rsidR="00FD5972">
        <w:t>I sei zusammen mit der Kriminal</w:t>
      </w:r>
      <w:r>
        <w:t>polizei versucht worden, den Urheber der Nachr</w:t>
      </w:r>
      <w:r w:rsidR="00FD5972">
        <w:t>icht festzustellen. Auf ein Aus</w:t>
      </w:r>
      <w:r>
        <w:t>kunftsersuchen habe der Provider mitgeteilt, dass</w:t>
      </w:r>
      <w:r w:rsidR="00FD5972">
        <w:t xml:space="preserve"> die Registrierung der zugehöri</w:t>
      </w:r>
      <w:r>
        <w:t>gen E-Mail-Adresse auf eine Person mit weib</w:t>
      </w:r>
      <w:r w:rsidR="00FD5972">
        <w:t>lichem Namen, Wohnsitz in Hanno</w:t>
      </w:r>
      <w:r>
        <w:t>ver und dem Geburtsjahr 2001 erfolgt sei. Unter den angegebenen Daten habe</w:t>
      </w:r>
      <w:r w:rsidR="00FD5972">
        <w:t xml:space="preserve"> </w:t>
      </w:r>
      <w:r>
        <w:t>eine entsprechende Person von den Ermittlungsbehörden nicht festgestellt werden können.</w:t>
      </w:r>
    </w:p>
    <w:p w:rsidR="004E2F84" w:rsidRDefault="004E2F84" w:rsidP="004E2F84">
      <w:pPr>
        <w:pStyle w:val="LTAntwortRessortText"/>
      </w:pPr>
      <w:r>
        <w:t>Eine zu dieser E-Mail-Adresse angegebene E-Mail-Kontaktadresse habe als</w:t>
      </w:r>
      <w:r w:rsidR="00FD5972">
        <w:t xml:space="preserve"> </w:t>
      </w:r>
      <w:r>
        <w:t>Registrierungsdaten eine Person mit männlichem Namen, Wohnsitz in Warstein und dem Geburtsjahr 2000 geführt. In den von den Ermittlungsbehörden</w:t>
      </w:r>
      <w:r w:rsidR="00FD5972">
        <w:t xml:space="preserve"> </w:t>
      </w:r>
      <w:r>
        <w:t>sichergestellten Postfächern der Mitarbeiter der Wirecard AG sei eine E</w:t>
      </w:r>
      <w:r w:rsidR="0040502E">
        <w:t>-Mail vom 18.06.</w:t>
      </w:r>
      <w:r>
        <w:t xml:space="preserve">2020, die von dieser E-Mail-Kontaktadresse abgesandt wurde, festgestellt worden. Der Verfasser habe dabei in englischer Sprache der Wirecard AG mitgeteilt, dass er wisse, wo sich die fehlenden 1,9 </w:t>
      </w:r>
      <w:r w:rsidR="0040502E">
        <w:t>Mrd.</w:t>
      </w:r>
      <w:r>
        <w:t xml:space="preserve"> Euro befinden würden, und die Wirecard AG diesbezüglich mit ihm Kontakt aufnehmen könne. Bei den polizeilichen Abklärungen habe zu den bei der Registrierung von dieser E-Mail-Kontaktadresse angegebenen Personalien keine Person festgestellt werden</w:t>
      </w:r>
      <w:r w:rsidR="00FD5972">
        <w:t xml:space="preserve"> </w:t>
      </w:r>
      <w:r>
        <w:t>können.</w:t>
      </w:r>
    </w:p>
    <w:p w:rsidR="004E2F84" w:rsidRDefault="004E2F84" w:rsidP="004E2F84">
      <w:pPr>
        <w:pStyle w:val="LTAntwortRessortText"/>
      </w:pPr>
      <w:r>
        <w:t>Auch zu dieser E-Mail-Adresse sei eine E-Mail</w:t>
      </w:r>
      <w:r w:rsidR="00FD5972">
        <w:t>-Kontaktadresse hinterlegt gewe</w:t>
      </w:r>
      <w:r>
        <w:t>sen. Diese E-Mail-Kontaktadresse sei auf eine Person mit männlichem Namen, Wohnsitz in der Nähe von Gießen und dem Geburtsjahr 1938 registriert worden. Die Person habe ermittelt werden können. Sie besitze nach eigener Auskunft</w:t>
      </w:r>
      <w:r w:rsidR="00FD5972">
        <w:t xml:space="preserve"> </w:t>
      </w:r>
      <w:r>
        <w:t>weder eine E-Mail-Adresse noch ein Mobiltel</w:t>
      </w:r>
      <w:r w:rsidR="00FD5972">
        <w:t>efon. Hinweise darauf, wer miss</w:t>
      </w:r>
      <w:r>
        <w:t>bräuchlich die Daten dieser Person verwendet hat, bestünden nicht.</w:t>
      </w:r>
    </w:p>
    <w:p w:rsidR="004E2F84" w:rsidRDefault="004E2F84" w:rsidP="004E2F84">
      <w:pPr>
        <w:pStyle w:val="LTAntwortRessortText"/>
      </w:pPr>
      <w:r>
        <w:t>Eine Überprüfung der bei der Registrierung angegebenen Nutzerpersonalien sei durch die beteiligten Provider nicht durchgeführt worden.</w:t>
      </w:r>
    </w:p>
    <w:p w:rsidR="004E2F84" w:rsidRDefault="004E2F84" w:rsidP="004E2F84">
      <w:pPr>
        <w:pStyle w:val="LTAntwortRessortText"/>
      </w:pPr>
      <w:r>
        <w:lastRenderedPageBreak/>
        <w:t>Im Ergebnis konnte daher der Verfasser der E-Mail vom 18.</w:t>
      </w:r>
      <w:r w:rsidR="0040502E">
        <w:t>06.</w:t>
      </w:r>
      <w:r>
        <w:t>2020 nicht fes</w:t>
      </w:r>
      <w:r w:rsidR="00FD5972">
        <w:t>t</w:t>
      </w:r>
      <w:r>
        <w:t>gestellt werden und es bestand kein realer Hint</w:t>
      </w:r>
      <w:r w:rsidR="00FD5972">
        <w:t>ergrund für die dortige Ankündi</w:t>
      </w:r>
      <w:r>
        <w:t>gung, es stehe die Vollstreckung eines Haftbefehls gegen den Beschuldigten Braun unmittelbar bevor.</w:t>
      </w:r>
    </w:p>
    <w:p w:rsidR="004E2F84" w:rsidRDefault="004E2F84" w:rsidP="004E2F84">
      <w:pPr>
        <w:pStyle w:val="LTAntwortRessortText"/>
      </w:pPr>
      <w:r>
        <w:t>Für eine unerlaubte Weitergabe von Informationen aus dem Kreis der Ermittlu</w:t>
      </w:r>
      <w:r w:rsidR="00FD5972">
        <w:t>ngs</w:t>
      </w:r>
      <w:r>
        <w:t>behörden, insbesondere eine Verletzung des Dienstgeheimnisses und einer</w:t>
      </w:r>
      <w:r w:rsidR="00FD5972">
        <w:t xml:space="preserve"> </w:t>
      </w:r>
      <w:r>
        <w:t xml:space="preserve">besonderen Geheimhaltungspflicht nach § 353b </w:t>
      </w:r>
      <w:r w:rsidR="0040502E">
        <w:t>Strafgesetzbuch</w:t>
      </w:r>
      <w:r>
        <w:t>, bestehen auf dieser Grundlage nach Einschätzung der Staatsanwaltschaft München I keine</w:t>
      </w:r>
      <w:r w:rsidR="00FD5972">
        <w:t xml:space="preserve"> </w:t>
      </w:r>
      <w:r>
        <w:t>zureichenden tatsächlichen Anhaltspunkte im Sinne eines Anfangsverdachts</w:t>
      </w:r>
      <w:r w:rsidR="00FD5972">
        <w:t xml:space="preserve"> </w:t>
      </w:r>
      <w:r w:rsidR="0040502E">
        <w:t>nach § 152 Abs. </w:t>
      </w:r>
      <w:r>
        <w:t>2 StPO.</w:t>
      </w:r>
    </w:p>
    <w:p w:rsidR="004E2F84" w:rsidRDefault="004E2F84">
      <w:bookmarkStart w:id="34" w:name="Frage_Nr_16_Ende"/>
      <w:bookmarkEnd w:id="3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9D3FE7" w:rsidTr="009D3FE7">
        <w:tc>
          <w:tcPr>
            <w:tcW w:w="1840" w:type="dxa"/>
          </w:tcPr>
          <w:p w:rsidR="009D3FE7" w:rsidRDefault="009D3FE7" w:rsidP="009D3FE7">
            <w:pPr>
              <w:pStyle w:val="LTAnfrageInitiator"/>
            </w:pPr>
            <w:r>
              <w:lastRenderedPageBreak/>
              <w:t>Abgeordneter</w:t>
            </w:r>
            <w:r>
              <w:rPr>
                <w:b/>
              </w:rPr>
              <w:br/>
              <w:t>Ulrich</w:t>
            </w:r>
            <w:r>
              <w:rPr>
                <w:b/>
              </w:rPr>
              <w:br/>
              <w:t>Singer</w:t>
            </w:r>
            <w:r>
              <w:rPr>
                <w:b/>
              </w:rPr>
              <w:br/>
            </w:r>
            <w:r>
              <w:t>(AfD)</w:t>
            </w:r>
            <w:bookmarkStart w:id="35" w:name="Frage_Nr_17"/>
            <w:bookmarkEnd w:id="35"/>
          </w:p>
        </w:tc>
        <w:tc>
          <w:tcPr>
            <w:tcW w:w="5776" w:type="dxa"/>
          </w:tcPr>
          <w:p w:rsidR="009D3FE7" w:rsidRPr="00E85D1C" w:rsidRDefault="009D3FE7" w:rsidP="00110E1B">
            <w:pPr>
              <w:pStyle w:val="LTAnfrageText"/>
            </w:pPr>
            <w:r w:rsidRPr="00E85D1C">
              <w:t xml:space="preserve">Ich frage die Staatsregierung, seit wann befindet sich der des mehrfachen Messermordes verdächtige Somalier von Würzburg, </w:t>
            </w:r>
            <w:r w:rsidRPr="00110E1B">
              <w:rPr>
                <w:highlight w:val="black"/>
              </w:rPr>
              <w:t>----------------</w:t>
            </w:r>
            <w:r w:rsidRPr="00E85D1C">
              <w:t xml:space="preserve"> in Bayern, wie hoch waren die gesamten Kosten für seinen bisherigen Aufenthalt in Bayern (inkl. Sozialleistungen und etwaige Verfahrenskosten) und wie konnte es passieren, dass ein straffälliger und gemeingefährlicher Asylbewerber weiterhin freien Fußes in Bayern war, obwohl er aufgrund seiner psychischen Auffälligkeiten und nach Auffassung von Ärzten wohl eines Betreuers bedurft hätte?</w:t>
            </w:r>
          </w:p>
        </w:tc>
        <w:tc>
          <w:tcPr>
            <w:tcW w:w="5776" w:type="dxa"/>
          </w:tcPr>
          <w:p w:rsidR="009D3FE7" w:rsidRDefault="009D3FE7" w:rsidP="009D3FE7">
            <w:pPr>
              <w:pStyle w:val="LTAnfrageText"/>
            </w:pPr>
          </w:p>
        </w:tc>
      </w:tr>
    </w:tbl>
    <w:p w:rsidR="004E2F84" w:rsidRDefault="004E2F84" w:rsidP="004E2F84">
      <w:pPr>
        <w:pStyle w:val="LTUeberschrAntwortRessort"/>
      </w:pPr>
      <w:r>
        <w:t>Antwort des Staatsministeriums der Justiz</w:t>
      </w:r>
    </w:p>
    <w:p w:rsidR="004E2F84" w:rsidRDefault="004E2F84" w:rsidP="004E2F84">
      <w:pPr>
        <w:pStyle w:val="LTAntwortRessortText"/>
      </w:pPr>
      <w:r>
        <w:t>Nach Mitteilung des Staatsministeriums des Inner</w:t>
      </w:r>
      <w:r w:rsidR="00FD5972">
        <w:t>n, für Sport und Integration er</w:t>
      </w:r>
      <w:r w:rsidR="0040502E">
        <w:t xml:space="preserve">folgte der Zuzug von Herrn </w:t>
      </w:r>
      <w:r w:rsidR="0040502E" w:rsidRPr="0040502E">
        <w:rPr>
          <w:highlight w:val="black"/>
        </w:rPr>
        <w:t>--------------</w:t>
      </w:r>
      <w:r>
        <w:t xml:space="preserve"> nach Bayern Anfang September 2019.</w:t>
      </w:r>
    </w:p>
    <w:p w:rsidR="004E2F84" w:rsidRDefault="004E2F84" w:rsidP="004E2F84">
      <w:pPr>
        <w:pStyle w:val="LTAntwortRessortText"/>
      </w:pPr>
      <w:r>
        <w:t>Betreffend die Frage nach den Kosten hat das St</w:t>
      </w:r>
      <w:r w:rsidR="00FD5972">
        <w:t>aatsministerium für Familie, Ar</w:t>
      </w:r>
      <w:r>
        <w:t xml:space="preserve">beit und Soziales (StMAS) Zweifel, inwiefern eine datenschutzrechtliche Befugnis besteht, Informationen zu einem eventuellen Sozialleistungsbezug weiterzugeben. Letztlich müsse diese Weitergabe zur Erfüllung </w:t>
      </w:r>
      <w:r w:rsidR="00FD5972">
        <w:t>einer Aufgabe nach dem Sozialge</w:t>
      </w:r>
      <w:r>
        <w:t>setzbuch erforderlich sein. Ein solcher Zusammenhang ist nach Einschätzung des StMAS vorliegend nicht erkennbar.</w:t>
      </w:r>
    </w:p>
    <w:p w:rsidR="004E2F84" w:rsidRDefault="004E2F84" w:rsidP="00164F0F">
      <w:pPr>
        <w:pStyle w:val="LTAntwortRessortText"/>
        <w:spacing w:before="0"/>
      </w:pPr>
      <w:r>
        <w:t xml:space="preserve">Unabhängig davon kann das StMAS schon mangels Zuständigkeit keine Auskunft darüber geben, ob und welche SGB II-Leistungen </w:t>
      </w:r>
      <w:r w:rsidR="00B5204D">
        <w:t xml:space="preserve">(SGB II = Sozialgesetzbuch Zweites Buch) </w:t>
      </w:r>
      <w:r>
        <w:t>der Tatverdächtige ggf. erhält. Zuständig ist die Regionaldirektion Bayern der Bundesagentur für Arbeit. Dabei wird mangels abweichender Angaben davon ausgegangen, dass der Betreffende seinen gewöhnlichen Aufenthalt im Stadtgebiet Würzburg hat.</w:t>
      </w:r>
    </w:p>
    <w:p w:rsidR="004E2F84" w:rsidRDefault="004E2F84" w:rsidP="004E2F84">
      <w:pPr>
        <w:pStyle w:val="LTAntwortRessortText"/>
      </w:pPr>
      <w:r>
        <w:t xml:space="preserve">Eine (vorläufige) </w:t>
      </w:r>
      <w:r w:rsidRPr="00164F0F">
        <w:rPr>
          <w:u w:val="single"/>
        </w:rPr>
        <w:t>strafrechtliche Unterbringung</w:t>
      </w:r>
      <w:r>
        <w:t xml:space="preserve"> wegen der Bedrohungen im Januar 2021 war nicht möglich, da die hohen gesetzliche</w:t>
      </w:r>
      <w:r w:rsidR="00FD5972">
        <w:t xml:space="preserve">n Voraussetzungen hierfür nicht </w:t>
      </w:r>
      <w:r>
        <w:t>vorlagen. Eine Bedrohung, bei der es zu keinen Verletzungen bei den Betroffenen kam, reicht als Anlasstat grundsätzlich nicht aus.</w:t>
      </w:r>
    </w:p>
    <w:p w:rsidR="004E2F84" w:rsidRDefault="004E2F84" w:rsidP="00164F0F">
      <w:pPr>
        <w:pStyle w:val="LTAntwortRessortText"/>
        <w:spacing w:before="0"/>
      </w:pPr>
      <w:r>
        <w:t xml:space="preserve">Der Betroffene war zweimal </w:t>
      </w:r>
      <w:r w:rsidRPr="00164F0F">
        <w:rPr>
          <w:u w:val="single"/>
        </w:rPr>
        <w:t>öffentlich-rechtlich</w:t>
      </w:r>
      <w:r>
        <w:t xml:space="preserve"> un</w:t>
      </w:r>
      <w:r w:rsidR="00FD5972">
        <w:t>tergebracht. Die vorläufigen öf</w:t>
      </w:r>
      <w:r>
        <w:t xml:space="preserve">fentlich-rechtlichen Unterbringungen vom 13. Januar 2021 </w:t>
      </w:r>
      <w:r w:rsidR="00FD5972">
        <w:t>und 14. Juni 2021 er</w:t>
      </w:r>
      <w:r>
        <w:t>folgten durch die Stadt Würzburg. Die erste Unterbringung wurde am 14. Januar 2021 beendet, da der Betroffene sich dazu entschieden hatte,</w:t>
      </w:r>
      <w:r w:rsidR="00FD5972">
        <w:t xml:space="preserve"> freiwillig in der Einrichtung </w:t>
      </w:r>
      <w:r>
        <w:t>zu verbleiben; zudem lag nach Ansicht der Einrichtung keine Eigen- oder Fremdgefährdung mehr vor. Die zweite Unterbringung wurde am 15. Juni 2021 beendet, weil nach Ansicht der Einrichtung kein An</w:t>
      </w:r>
      <w:r w:rsidR="00FD5972">
        <w:t>haltspunkt für das Vorliegen ei</w:t>
      </w:r>
      <w:r>
        <w:t>ner Eigen- oder Fremdgefährdung mehr bestand.</w:t>
      </w:r>
    </w:p>
    <w:p w:rsidR="004E2F84" w:rsidRDefault="004E2F84" w:rsidP="00164F0F">
      <w:pPr>
        <w:pStyle w:val="LTAntwortRessortText"/>
        <w:spacing w:before="0"/>
      </w:pPr>
      <w:r>
        <w:t xml:space="preserve">Eine </w:t>
      </w:r>
      <w:r w:rsidRPr="00164F0F">
        <w:rPr>
          <w:u w:val="single"/>
        </w:rPr>
        <w:t>zivilrechtliche Unterbringung</w:t>
      </w:r>
      <w:r>
        <w:t xml:space="preserve"> ist nur möglich, wenn eine Eigengefährdung des Betroffenen vorliegt. Bei einer Fremdgefährdung k</w:t>
      </w:r>
      <w:r w:rsidR="00FD5972">
        <w:t>ommt eine zivilrechtliche Unter</w:t>
      </w:r>
      <w:r>
        <w:t>bringung nicht in Betracht. Mangels medizinisch festgestellter Eigengefährdung des Betroffenen konnte keine zivilrechtliche Unterbringung angeordnet werden. Noch am 15. Juni 2021, mithin gerade einmal zehn Tage vor der Tat, bescheinigte die Einrichtung, dass Hinweise auf eine akute Eigen- bzw. Fremdgefährdung des Betroffenen fehlten und entließen ihn deshalb aus der Einrichtung.</w:t>
      </w:r>
    </w:p>
    <w:p w:rsidR="004E2F84" w:rsidRDefault="004E2F84" w:rsidP="00164F0F">
      <w:pPr>
        <w:pStyle w:val="LTAntwortRessortText"/>
        <w:spacing w:before="0"/>
      </w:pPr>
      <w:r>
        <w:t xml:space="preserve">Die </w:t>
      </w:r>
      <w:r w:rsidRPr="00164F0F">
        <w:rPr>
          <w:u w:val="single"/>
        </w:rPr>
        <w:t>Bestellung eines Betreuers</w:t>
      </w:r>
      <w:r>
        <w:t xml:space="preserve"> hätte nicht zu einer Unterbringung des Betroffenen geführt. Eine Betreuung wird im Interesse des Betreuten eingerichtet, also nicht zum Schutz Dritter. Die Betreuung dient der Fürsorge für den psychisch Kranken</w:t>
      </w:r>
      <w:r w:rsidR="004A495D">
        <w:t>.</w:t>
      </w:r>
    </w:p>
    <w:p w:rsidR="004E2F84" w:rsidRDefault="004E2F84">
      <w:bookmarkStart w:id="36" w:name="Frage_Nr_17_Ende"/>
      <w:bookmarkEnd w:id="36"/>
      <w:r>
        <w:br w:type="page"/>
      </w:r>
    </w:p>
    <w:p w:rsidR="004E2F84" w:rsidRDefault="004E2F84" w:rsidP="004E2F84">
      <w:pPr>
        <w:pStyle w:val="LTUeberschrRessort"/>
      </w:pPr>
      <w:r>
        <w:lastRenderedPageBreak/>
        <w:t>Geschäftsbereich des Staatsministeriums für Unterricht und Kultus</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D3FE7" w:rsidTr="009D3FE7">
        <w:tc>
          <w:tcPr>
            <w:tcW w:w="1854" w:type="dxa"/>
          </w:tcPr>
          <w:p w:rsidR="009D3FE7" w:rsidRDefault="009D3FE7" w:rsidP="009D3FE7">
            <w:pPr>
              <w:pStyle w:val="LTAnfrageInitiator"/>
            </w:pPr>
            <w:r>
              <w:t>Abgeordneter</w:t>
            </w:r>
            <w:r>
              <w:rPr>
                <w:b/>
              </w:rPr>
              <w:br/>
              <w:t>Klaus</w:t>
            </w:r>
            <w:r>
              <w:rPr>
                <w:b/>
              </w:rPr>
              <w:br/>
              <w:t>Adelt</w:t>
            </w:r>
            <w:r>
              <w:rPr>
                <w:b/>
              </w:rPr>
              <w:br/>
            </w:r>
            <w:r>
              <w:t>(SPD)</w:t>
            </w:r>
            <w:bookmarkStart w:id="37" w:name="Frage_Nr_18"/>
            <w:bookmarkEnd w:id="37"/>
          </w:p>
        </w:tc>
        <w:tc>
          <w:tcPr>
            <w:tcW w:w="5762" w:type="dxa"/>
          </w:tcPr>
          <w:p w:rsidR="009D3FE7" w:rsidRPr="00E85D1C" w:rsidRDefault="009D3FE7" w:rsidP="00E85D1C">
            <w:pPr>
              <w:pStyle w:val="LTAnfrageText"/>
            </w:pPr>
            <w:r w:rsidRPr="00E85D1C">
              <w:t>Nachdem seit Juli 2020 gemäß einer Sondervereinbarung zwischen Bund und Ländern auch Systemadministratoren mit Mittel</w:t>
            </w:r>
            <w:r w:rsidR="004A495D">
              <w:t>n</w:t>
            </w:r>
            <w:r w:rsidRPr="00E85D1C">
              <w:t xml:space="preserve"> aus dem DigitalPakt Schule gefördert werden können, im November die entsprechende Bund-Länder-Vereinbarung unterzeichnet wurde und seitdem die Bundesmittel abgerufen werden können, frage ich daher die Staatsregierung, gibt es mittlerweile eine entsprechende bayerische Förderrichtlinie bzw. Änderung der Förderrichtlinie (dBIR), falls dem trotz vorhandener Haushaltsmittel nicht so ist, bitte unter Angabe des Grundes und in welchen Ländern wurden entsprechende Richtlinien nach Kenntnisstand der Staatsregierung bereits erlassen bzw. umgesetzt?</w:t>
            </w:r>
          </w:p>
        </w:tc>
        <w:tc>
          <w:tcPr>
            <w:tcW w:w="5762" w:type="dxa"/>
          </w:tcPr>
          <w:p w:rsidR="009D3FE7" w:rsidRDefault="009D3FE7" w:rsidP="009D3FE7">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 xml:space="preserve">Die Förderrichtlinien zur Umsetzung der Zusatzvereinbarung </w:t>
      </w:r>
      <w:r w:rsidR="003F1661">
        <w:t>„</w:t>
      </w:r>
      <w:r>
        <w:t>Administration</w:t>
      </w:r>
      <w:r w:rsidR="003F1661">
        <w:t>“</w:t>
      </w:r>
      <w:r w:rsidR="00FD5972">
        <w:t xml:space="preserve"> zum Di</w:t>
      </w:r>
      <w:r>
        <w:t xml:space="preserve">gitalPakt Schule 2019 bis 2024 (VV-Z Admin) einschließlich der Antragsunterlagen und Hilfsmaterialien sind veröffentlichungsfertig vorbereitet. Dazu </w:t>
      </w:r>
      <w:r w:rsidR="00FD5972">
        <w:t>wurde die Zustim</w:t>
      </w:r>
      <w:r>
        <w:t xml:space="preserve">mung bzw. das Einvernehmen mit dem </w:t>
      </w:r>
      <w:r w:rsidR="004A495D">
        <w:t>Staatsministerium der Finanzen und für Heimat</w:t>
      </w:r>
      <w:r>
        <w:t xml:space="preserve"> und dem Bayerischen Obersten Rechnungshof zu den </w:t>
      </w:r>
      <w:r w:rsidR="003F1661">
        <w:t>„</w:t>
      </w:r>
      <w:r>
        <w:t>Rich</w:t>
      </w:r>
      <w:r w:rsidR="00FD5972">
        <w:t>tlinien zur Bayerischen IT-Admi</w:t>
      </w:r>
      <w:r>
        <w:t>nistrationsförderung</w:t>
      </w:r>
      <w:r w:rsidR="003F1661">
        <w:t>“</w:t>
      </w:r>
      <w:r>
        <w:t xml:space="preserve"> (BayARn) eingeholt und der </w:t>
      </w:r>
      <w:r w:rsidR="00FD5972">
        <w:t>Entwurf mit den Kommunalen Spit</w:t>
      </w:r>
      <w:r>
        <w:t>zenverbänden abgestimmt. Im unmittelbaren Ans</w:t>
      </w:r>
      <w:r w:rsidR="00FD5972">
        <w:t>chluss an die landesseitigen Ab</w:t>
      </w:r>
      <w:r>
        <w:t xml:space="preserve">stimmungen wurde bereits am 12. April 2021 das nach § 6 Abs. 2 der VV-Z Admin erforderliche Verfahren zur Herstellung des Benehmens mit dem Bund eingeleitet. Auf Bitten des Bundesministeriums für Bildung und </w:t>
      </w:r>
      <w:r w:rsidR="004A495D">
        <w:t>Forschung wurde der Richtlinien</w:t>
      </w:r>
      <w:r>
        <w:t>entwurf neuerlich überarbeitet und umgehend z</w:t>
      </w:r>
      <w:r w:rsidR="00FD5972">
        <w:t>ur Herstellung des Benehmens er</w:t>
      </w:r>
      <w:r>
        <w:t>neut zugesandt. Dabei hat sich das Staatsministerium für eine unkomplizierte und im Rahmen der Zusatzvereinbarung möglichst umfas</w:t>
      </w:r>
      <w:r w:rsidR="00FD5972">
        <w:t>sende Förderung der IT-Administ</w:t>
      </w:r>
      <w:r>
        <w:t>ration durch die Schulaufwandsträger eingesetzt. Das Bundesministerium für Bildung und Forschung hat das Prüfverfahren noch nicht abgeschlossen, so dass die für ein Inkrafttreten der Förderrichtlinien erforderliche Zustimmung des Bundes</w:t>
      </w:r>
      <w:r w:rsidR="004A495D">
        <w:t xml:space="preserve"> weiterhin nicht vorliegt. Die b</w:t>
      </w:r>
      <w:r>
        <w:t>ayerischen Richtlinien werden unverzüglich nach Herstellung des Benehmens mit dem Bund erlassen und sehen, un</w:t>
      </w:r>
      <w:r w:rsidR="00FD5972">
        <w:t>abhängig vom Inkrafttretenszeit</w:t>
      </w:r>
      <w:r>
        <w:t>punkt, die Förderung aller ab dem 3. Juni 2020 fälligen Ausgaben für die IT-Administration in unmittelbarer Verbindung mit den Investitionen im DigitalPakt Schule sowie weiterer Zusatzvereinbarungen vor.</w:t>
      </w:r>
    </w:p>
    <w:p w:rsidR="004E2F84" w:rsidRDefault="004E2F84">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D3FE7" w:rsidTr="009D3FE7">
        <w:tc>
          <w:tcPr>
            <w:tcW w:w="1883" w:type="dxa"/>
          </w:tcPr>
          <w:p w:rsidR="009D3FE7" w:rsidRDefault="009D3FE7" w:rsidP="009D3FE7">
            <w:pPr>
              <w:pStyle w:val="LTAnfrageInitiator"/>
            </w:pPr>
            <w:r>
              <w:lastRenderedPageBreak/>
              <w:t>Abgeordnete</w:t>
            </w:r>
            <w:r>
              <w:rPr>
                <w:b/>
              </w:rPr>
              <w:br/>
              <w:t>Kerstin</w:t>
            </w:r>
            <w:r>
              <w:rPr>
                <w:b/>
              </w:rPr>
              <w:br/>
              <w:t>Celina</w:t>
            </w:r>
            <w:r>
              <w:rPr>
                <w:b/>
              </w:rPr>
              <w:br/>
            </w:r>
            <w:r>
              <w:t>(BÜNDNIS 90/DIE GRÜNEN)</w:t>
            </w:r>
            <w:bookmarkStart w:id="39" w:name="Frage_Nr_19"/>
            <w:bookmarkEnd w:id="39"/>
          </w:p>
        </w:tc>
        <w:tc>
          <w:tcPr>
            <w:tcW w:w="5733" w:type="dxa"/>
          </w:tcPr>
          <w:p w:rsidR="009D3FE7" w:rsidRPr="00E85D1C" w:rsidRDefault="009D3FE7" w:rsidP="00E85D1C">
            <w:pPr>
              <w:pStyle w:val="LTAnfrageText"/>
            </w:pPr>
            <w:r w:rsidRPr="00E85D1C">
              <w:t>Ich frage die Staatsregierung, welche Berufsgruppen kommen für den Einsatz an Grund-, Mittel- und Förderschulen in Frage, wenn von sogenannten anders Qualifizierten die Rede ist, wie unterscheiden sich die Anforderungen für den Einsatz an Grund-, Mittel- oder Förderschulen und welche Verträge hinsichtlich Vergütung und Befristung werden diesen Personen angeboten?</w:t>
            </w:r>
          </w:p>
        </w:tc>
        <w:tc>
          <w:tcPr>
            <w:tcW w:w="5733" w:type="dxa"/>
          </w:tcPr>
          <w:p w:rsidR="009D3FE7" w:rsidRDefault="009D3FE7" w:rsidP="009D3FE7">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Mit K</w:t>
      </w:r>
      <w:r w:rsidR="00B5204D">
        <w:t>ultusministeriellem Schreiben</w:t>
      </w:r>
      <w:r>
        <w:t xml:space="preserve"> vom 22.04.2021 wurden die Regierungen informiert, dass für die Bereiche </w:t>
      </w:r>
      <w:r w:rsidR="003F1661">
        <w:t>„</w:t>
      </w:r>
      <w:r>
        <w:t>Vorkurs Deutsch 240</w:t>
      </w:r>
      <w:r w:rsidR="003F1661">
        <w:t>“</w:t>
      </w:r>
      <w:r>
        <w:t>, Erteilung von zusätzlichem Unterricht wie Förderunterricht, Arbeitsgemeinschaften, Sprachfördermaßnahmen, für den gebundenen Ganztag und für Fachunterricht an Mittelschulen auch Personal ohne Lehramtsbefähigung zum Einsatz kommen kann. Der Bewerberpool setzt si</w:t>
      </w:r>
      <w:r w:rsidR="00FD5972">
        <w:t>ch aus Personen mit entsprechen</w:t>
      </w:r>
      <w:r>
        <w:t>den fachlichen Qualifikationen zusammen. So sind b</w:t>
      </w:r>
      <w:r w:rsidR="00FD5972">
        <w:t>eispielsweise für das Kooperati</w:t>
      </w:r>
      <w:r>
        <w:t xml:space="preserve">onsprojekt </w:t>
      </w:r>
      <w:r w:rsidR="003F1661">
        <w:t>„</w:t>
      </w:r>
      <w:r>
        <w:t>Vorkurs Deutsch 240</w:t>
      </w:r>
      <w:r w:rsidR="003F1661">
        <w:t>“</w:t>
      </w:r>
      <w:r>
        <w:t xml:space="preserve"> insbesondere Personen mit dem Fachstudium </w:t>
      </w:r>
      <w:r w:rsidR="003F1661">
        <w:t>„</w:t>
      </w:r>
      <w:r>
        <w:t>Deutsch als Fremdsprache</w:t>
      </w:r>
      <w:r w:rsidR="003F1661">
        <w:t>“</w:t>
      </w:r>
      <w:r>
        <w:t xml:space="preserve"> vorgesehen, es ist ab</w:t>
      </w:r>
      <w:r w:rsidR="00FD5972">
        <w:t>er auch der Einsatz von Erziehe</w:t>
      </w:r>
      <w:r>
        <w:t>rinnen möglich, soweit diese bereits im Vorkurs Deu</w:t>
      </w:r>
      <w:r w:rsidR="00FD5972">
        <w:t>tsch von Seiten der Kindertages</w:t>
      </w:r>
      <w:r>
        <w:t>stätten aus im Einsatz waren.</w:t>
      </w:r>
    </w:p>
    <w:p w:rsidR="004E2F84" w:rsidRDefault="004E2F84" w:rsidP="00992621">
      <w:pPr>
        <w:pStyle w:val="LTAntwortRessortText"/>
        <w:spacing w:before="0"/>
      </w:pPr>
      <w:r>
        <w:t>Für den Einsatz in der schulischen Sprachförderung gilt als Mindestvoraussetzung ein akademischer Abschluss, für die Abdeckung von Arbeitsgemeinschaften und für Stunden aus dem gebundenen Ganztag wird eine ei</w:t>
      </w:r>
      <w:r w:rsidR="00FD5972">
        <w:t>nschlägige fachliche Qualifizie</w:t>
      </w:r>
      <w:r>
        <w:t>rung für die Thematik der Arbeitsgemeinschaft bzw. der im Ganztag abzudeckenden Stunden vorausgesetzt (</w:t>
      </w:r>
      <w:r w:rsidR="003F1661">
        <w:t>z. B.</w:t>
      </w:r>
      <w:r>
        <w:t xml:space="preserve"> Studium der Thea</w:t>
      </w:r>
      <w:r w:rsidR="00FD5972">
        <w:t>terpädagogik, der Museumspädago</w:t>
      </w:r>
      <w:r>
        <w:t>gik, Abschlüsse an Berufsfachschulen für Musik etc.). Der Einsatz von sogenannten Fachlehrern in einem Fach wurde bereits zum Schuljahr 2019/2020 vorgesehen und zielt auf Personengruppen, die fachliche Ausbildungen in den Bereichen Musik, Sport, Kunst und/oder Englisch vorweisen kön</w:t>
      </w:r>
      <w:r w:rsidR="00FD5972">
        <w:t>nen. Dies sind insbesondere Dip</w:t>
      </w:r>
      <w:r>
        <w:t xml:space="preserve">lomdolmetscher für Englisch, Sportlehrer im Freien </w:t>
      </w:r>
      <w:r w:rsidR="00FD5972">
        <w:t>Beruf, Diplomsportlehrer, Fremd</w:t>
      </w:r>
      <w:r>
        <w:t>sprachenkorrespondenten für Englisch, Kunstpä</w:t>
      </w:r>
      <w:r w:rsidR="00FD5972">
        <w:t>dagogen oder Absolventen der Be</w:t>
      </w:r>
      <w:r>
        <w:t>rufsfachschulen für Musik.</w:t>
      </w:r>
    </w:p>
    <w:p w:rsidR="004E2F84" w:rsidRDefault="004E2F84" w:rsidP="004E2F84">
      <w:pPr>
        <w:pStyle w:val="LTAntwortRessortText"/>
      </w:pPr>
      <w:r>
        <w:t>Die Verträge und Vergütungen der verschiedenen Berufsgruppen richten sich nach der vorliegenden Ausbildung in Verbindung mit der beabsichtigten Tätigkeit.</w:t>
      </w:r>
    </w:p>
    <w:p w:rsidR="004E2F84" w:rsidRDefault="004E2F84" w:rsidP="004E2F84">
      <w:pPr>
        <w:pStyle w:val="LTAntwortRessortText"/>
      </w:pPr>
      <w:r>
        <w:t>An den Förderschulen sind neben Lehrkräften weitere</w:t>
      </w:r>
      <w:r w:rsidR="00FD5972">
        <w:t xml:space="preserve"> unterschiedliche Berufsqualifi</w:t>
      </w:r>
      <w:r>
        <w:t>kationen vertreten.</w:t>
      </w:r>
    </w:p>
    <w:p w:rsidR="004E2F84" w:rsidRDefault="004E2F84" w:rsidP="00992621">
      <w:pPr>
        <w:pStyle w:val="LTAntwortRessortText"/>
        <w:numPr>
          <w:ilvl w:val="0"/>
          <w:numId w:val="28"/>
        </w:numPr>
        <w:spacing w:before="0"/>
        <w:ind w:left="697" w:hanging="357"/>
      </w:pPr>
      <w:r>
        <w:t xml:space="preserve">Neben Lehrkräften mit Lehramtsbefähigung </w:t>
      </w:r>
      <w:r w:rsidR="00FD5972">
        <w:t>arbeiten heilpädagogische Unter</w:t>
      </w:r>
      <w:r>
        <w:t>richtshilfen (HPU) an Förderschulen. Das sind</w:t>
      </w:r>
      <w:r w:rsidR="00FD5972">
        <w:t xml:space="preserve"> im Regelfall Lehrkräfte mit Er</w:t>
      </w:r>
      <w:r>
        <w:t>zieherausbildung oder Heilerziehungspfleger. Absolventen weiterer nicht lehr-amtsbezogener pädagogischer Ausbildungsrichtungen werden meist auf diese HPU-Stellen eingestellt.</w:t>
      </w:r>
    </w:p>
    <w:p w:rsidR="004E2F84" w:rsidRDefault="004E2F84" w:rsidP="00992621">
      <w:pPr>
        <w:pStyle w:val="LTAntwortRessortText"/>
        <w:numPr>
          <w:ilvl w:val="0"/>
          <w:numId w:val="28"/>
        </w:numPr>
        <w:spacing w:before="0"/>
        <w:ind w:left="697" w:hanging="357"/>
      </w:pPr>
      <w:r>
        <w:t>Zudem arbeiten im Bereich der Pflegestellen Kinderpfleger oder Arbeitnehmer mit vergleichbaren Abschlüssen.</w:t>
      </w:r>
    </w:p>
    <w:p w:rsidR="004E2F84" w:rsidRDefault="004E2F84" w:rsidP="00992621">
      <w:pPr>
        <w:pStyle w:val="LTAntwortRessortText"/>
      </w:pPr>
      <w:r>
        <w:t>Die Verträge und Vergütungen der verschiedenen Berufsgruppen richten sich auch hier nach der vorliegenden Ausbildung in Verbindu</w:t>
      </w:r>
      <w:r w:rsidR="00FD5972">
        <w:t>ng mit der beabsichtigten Tätig</w:t>
      </w:r>
      <w:r>
        <w:t>keit. Durch aktuelle Sondermaßnahmen wird Absolventen fachlicher oder pädagogischer, aber lehramtsfremder universitärer Ausbildungen die Möglichkeit angeboten, durch Teilnahme am Vorbereitungsdienst das Lehramt für die entsprechende Schulart zu erwerben und dementsprechend eingestellt und besoldet zu werden.</w:t>
      </w:r>
      <w:bookmarkStart w:id="40" w:name="Frage_Nr_19_Ende"/>
      <w:bookmarkEnd w:id="4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D3FE7" w:rsidTr="009D3FE7">
        <w:tc>
          <w:tcPr>
            <w:tcW w:w="1854" w:type="dxa"/>
          </w:tcPr>
          <w:p w:rsidR="009D3FE7" w:rsidRDefault="009D3FE7" w:rsidP="009D3FE7">
            <w:pPr>
              <w:pStyle w:val="LTAnfrageInitiator"/>
            </w:pPr>
            <w:r>
              <w:lastRenderedPageBreak/>
              <w:t>Abgeordnete</w:t>
            </w:r>
            <w:r>
              <w:rPr>
                <w:b/>
              </w:rPr>
              <w:br/>
              <w:t>Martina</w:t>
            </w:r>
            <w:r>
              <w:rPr>
                <w:b/>
              </w:rPr>
              <w:br/>
              <w:t>Fehlner</w:t>
            </w:r>
            <w:r>
              <w:rPr>
                <w:b/>
              </w:rPr>
              <w:br/>
            </w:r>
            <w:r>
              <w:t>(SPD)</w:t>
            </w:r>
            <w:bookmarkStart w:id="41" w:name="Frage_Nr_20"/>
            <w:bookmarkEnd w:id="41"/>
          </w:p>
        </w:tc>
        <w:tc>
          <w:tcPr>
            <w:tcW w:w="5762" w:type="dxa"/>
          </w:tcPr>
          <w:p w:rsidR="009D3FE7" w:rsidRPr="00E85D1C" w:rsidRDefault="009D3FE7" w:rsidP="00E85D1C">
            <w:pPr>
              <w:pStyle w:val="LTAnfrageText"/>
            </w:pPr>
            <w:r w:rsidRPr="00E85D1C">
              <w:t>Ich frage die Staatsregierung, trifft es zu, dass kirchliche und freie Privatschulen keine Mittel aus dem Förderprogramm „gemeinsam.Brücken.bauen“ erhalten können und plant sie ein eigenes Programm für private Schulen, etwa im Rahmen der „Sommerschule 21“, aufzulegen? </w:t>
            </w:r>
          </w:p>
        </w:tc>
        <w:tc>
          <w:tcPr>
            <w:tcW w:w="5762" w:type="dxa"/>
          </w:tcPr>
          <w:p w:rsidR="009D3FE7" w:rsidRDefault="009D3FE7" w:rsidP="009D3FE7">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Dies trifft nicht zu.</w:t>
      </w:r>
    </w:p>
    <w:p w:rsidR="004E2F84" w:rsidRDefault="004E2F84" w:rsidP="000029BC">
      <w:pPr>
        <w:pStyle w:val="LTAntwortRessortText"/>
        <w:spacing w:before="0"/>
      </w:pPr>
      <w:r>
        <w:t xml:space="preserve">Mit den Mitteln aus dem Aktionsprogramm des Bundes </w:t>
      </w:r>
      <w:r w:rsidR="003F1661">
        <w:t>„</w:t>
      </w:r>
      <w:r>
        <w:t>Aufholen nach Corona für Kinder und Jugendliche</w:t>
      </w:r>
      <w:r w:rsidR="003F1661">
        <w:t>“</w:t>
      </w:r>
      <w:r>
        <w:t xml:space="preserve"> soll das Förderprogramm der Staatsregierung </w:t>
      </w:r>
      <w:r w:rsidR="003F1661">
        <w:t>„</w:t>
      </w:r>
      <w:r>
        <w:t>gemein-sam.Brücken.bauen</w:t>
      </w:r>
      <w:r w:rsidR="003F1661">
        <w:t>“</w:t>
      </w:r>
      <w:r>
        <w:t xml:space="preserve"> fortgesetzt und ausgeweitet werden. An der Fortsetzung von </w:t>
      </w:r>
      <w:r w:rsidR="003F1661">
        <w:t>„</w:t>
      </w:r>
      <w:r>
        <w:t>gemeinsam.Brücken.bauen</w:t>
      </w:r>
      <w:r w:rsidR="003F1661">
        <w:t>“</w:t>
      </w:r>
      <w:r>
        <w:t xml:space="preserve"> werden nichtstaatliche Schulen partizipieren können.</w:t>
      </w:r>
    </w:p>
    <w:p w:rsidR="004E2F84" w:rsidRDefault="004E2F84" w:rsidP="004E2F84">
      <w:pPr>
        <w:pStyle w:val="LTAntwortRessortText"/>
      </w:pPr>
      <w:r>
        <w:t xml:space="preserve">Da sich somit die nichtstaatlichen Schulen in den kommenden beiden Schuljahren 2021/2022 und 2022/2023 an </w:t>
      </w:r>
      <w:r w:rsidR="003F1661">
        <w:t>„</w:t>
      </w:r>
      <w:r>
        <w:t>gemeinsam.Brücken.bauen</w:t>
      </w:r>
      <w:r w:rsidR="003F1661">
        <w:t>“</w:t>
      </w:r>
      <w:r>
        <w:t xml:space="preserve"> beteiligen können, ist nicht geplant bzw. ist es nicht erforderlich, für die privaten Schulträger ein eigenes Programm aufzulegen.</w:t>
      </w:r>
    </w:p>
    <w:p w:rsidR="004E2F84" w:rsidRDefault="004E2F84">
      <w:bookmarkStart w:id="42" w:name="Frage_Nr_20_Ende"/>
      <w:bookmarkEnd w:id="42"/>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A66E15" w:rsidTr="00A66E15">
        <w:tc>
          <w:tcPr>
            <w:tcW w:w="1905" w:type="dxa"/>
          </w:tcPr>
          <w:p w:rsidR="00A66E15" w:rsidRDefault="00A66E15" w:rsidP="00A66E15">
            <w:pPr>
              <w:pStyle w:val="LTAnfrageInitiator"/>
            </w:pPr>
            <w:r>
              <w:lastRenderedPageBreak/>
              <w:t>Abgeordneter</w:t>
            </w:r>
            <w:r>
              <w:rPr>
                <w:b/>
              </w:rPr>
              <w:br/>
              <w:t>Matthias</w:t>
            </w:r>
            <w:r>
              <w:rPr>
                <w:b/>
              </w:rPr>
              <w:br/>
              <w:t>Fischbach</w:t>
            </w:r>
            <w:r>
              <w:rPr>
                <w:b/>
              </w:rPr>
              <w:br/>
            </w:r>
            <w:r>
              <w:t>(FDP)</w:t>
            </w:r>
            <w:bookmarkStart w:id="43" w:name="Frage_Nr_21"/>
            <w:bookmarkEnd w:id="43"/>
          </w:p>
        </w:tc>
        <w:tc>
          <w:tcPr>
            <w:tcW w:w="5711" w:type="dxa"/>
          </w:tcPr>
          <w:p w:rsidR="00A66E15" w:rsidRPr="00E85D1C" w:rsidRDefault="00A66E15" w:rsidP="00E85D1C">
            <w:pPr>
              <w:pStyle w:val="LTAnfrageText"/>
            </w:pPr>
            <w:r w:rsidRPr="00E85D1C">
              <w:t>Nachdem uns auf unsere schriftliche Anfrage vom 06.05.2021 bezüglich der Förderrichtlinie FILS-R und der am 30.04.2021 ausgelaufenen Antragsphase für mobile Luftreinigungsgeräte keine konkreten Pläne zur Weiterführung einer entsprechenden Förderung präsentiert worden sind, frage ich die Staatsregierung, welche Gründe seinerzeit gegen die Auflage eines zeitlich direkt daran anschließenden, weiteren Förderprogramms gesprochen haben (bitte auch auf seitdem erfolgte Veränderungen in der Bewertung eingehen), inwiefern die Erkenntnisse aus der unter der bereitgestellten Fördersumme liegenden Abrufbereitschaft durch öffentliche Träger in der zweiten Förderrunde nach FILS-R mit 50-prozentiger Förderung bei der Umsetzung der vom Ministerpräsidenten vergangene Woche angekündigten, neuen Förderung in Höhe von 50 Prozent berücksichtigt werden, um zu erreichen, dass „im September in jedem Klassenzimmer“ ein mobiler Lüfter sein wird und in welcher Art und Weise die hierzu angekündigte „Vorgabe“ umgesetzt werden soll (bitte sowohl auf die rechtliche Umsetzung als auch auf die organisatorische Umsetzung bzw. den idealtypischen Beschaffungsprozess in einer durchschnittlichen Gemeinde mit allen relevanten Schritten von Gemeinderatsbeschluss bis zur Einrichtung eingehen)?</w:t>
            </w:r>
          </w:p>
        </w:tc>
        <w:tc>
          <w:tcPr>
            <w:tcW w:w="5711" w:type="dxa"/>
          </w:tcPr>
          <w:p w:rsidR="00A66E15" w:rsidRDefault="00A66E15" w:rsidP="00A66E15">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Dem infektionsschutzgerechten Lüften kommt eine wesentliche Bedeutung zu, um die Virenlast und damit die Ansteckungsgefahr in</w:t>
      </w:r>
      <w:r w:rsidR="00FD5972">
        <w:t xml:space="preserve"> Innenräumen zu minimieren. Des</w:t>
      </w:r>
      <w:r>
        <w:t>halb hatte die Staatsregierung frühzeitig ein Förderprogramm aufgesetzt, um die für derartige Infektionsschutzmaßnahmen zuständigen</w:t>
      </w:r>
      <w:r w:rsidR="00FD5972">
        <w:t xml:space="preserve"> Schulaufwandsträger bei der Be</w:t>
      </w:r>
      <w:r>
        <w:t>schaffung von CO</w:t>
      </w:r>
      <w:r w:rsidRPr="004A495D">
        <w:rPr>
          <w:vertAlign w:val="subscript"/>
        </w:rPr>
        <w:t>2</w:t>
      </w:r>
      <w:r>
        <w:t xml:space="preserve">-Sensoren und mobilen Luftreinigungsgeräten zu unterstützen. Das Programm lief von Oktober 2020 bis April 2021 mit einer Fördersumme von 37 </w:t>
      </w:r>
      <w:r w:rsidR="00B5204D">
        <w:t>Mio.</w:t>
      </w:r>
      <w:r>
        <w:t xml:space="preserve"> Euro. Es konnten alle förderfähigen Anträge berücksichtigt werden, die Mittel wurden dabei nahezu ausgeschöpft. Das Ergebnis zeigt insgesamt, dass viele Schulaufwandsträger die Chance genutzt haben, die ihnen die Staat</w:t>
      </w:r>
      <w:r w:rsidR="004A495D">
        <w:t>s</w:t>
      </w:r>
      <w:r>
        <w:t>regierung mit dem Förderprogramm geboten hat.</w:t>
      </w:r>
    </w:p>
    <w:p w:rsidR="004E2F84" w:rsidRDefault="004E2F84" w:rsidP="00FD5972">
      <w:pPr>
        <w:pStyle w:val="LTAntwortRessortText"/>
      </w:pPr>
      <w:r>
        <w:t>Die Staatsregierung beobachtet die Entwicklung der In</w:t>
      </w:r>
      <w:r w:rsidR="00FD5972">
        <w:t>fektionslage sorgfältig. Die Be</w:t>
      </w:r>
      <w:r>
        <w:t>urteilung des Bedarfs für ein weiteres Förderprogra</w:t>
      </w:r>
      <w:r w:rsidR="00FD5972">
        <w:t>mm hat sich gegenüber der Situa</w:t>
      </w:r>
      <w:r>
        <w:t>tion im April 2021 vor allem mit Blick auf die Beurteilung der raschen Ausbreitung der aktuellen Delta-Variante durch Experten verändert. Ausgehend von der eminenten Bedeutung einer möglichst weitgehenden Sich</w:t>
      </w:r>
      <w:r w:rsidR="00FD5972">
        <w:t xml:space="preserve">erung des Präsenzunterrichts im </w:t>
      </w:r>
      <w:r>
        <w:t xml:space="preserve">neuen Schuljahr hat die Staatsregierung daher am </w:t>
      </w:r>
      <w:r w:rsidR="00FD5972">
        <w:t>29.</w:t>
      </w:r>
      <w:r w:rsidR="00B5204D">
        <w:t>06.</w:t>
      </w:r>
      <w:r w:rsidR="00FD5972">
        <w:t>2021 die weitere Unter</w:t>
      </w:r>
      <w:r>
        <w:t>stützung der Schulaufwandsträger bei der Beschaffung mobiler Luftrein</w:t>
      </w:r>
      <w:r w:rsidR="00B5204D">
        <w:t>igungsgeräte im Schuljahr 2021/</w:t>
      </w:r>
      <w:r>
        <w:t>2022 durch eine Neuauflage des Förderprogramms beschlossen.</w:t>
      </w:r>
    </w:p>
    <w:p w:rsidR="000029BC" w:rsidRDefault="000029BC">
      <w:r>
        <w:br w:type="page"/>
      </w:r>
    </w:p>
    <w:p w:rsidR="004E2F84" w:rsidRDefault="004E2F84" w:rsidP="004E2F84">
      <w:pPr>
        <w:pStyle w:val="LTAntwortRessortText"/>
      </w:pPr>
      <w:r>
        <w:lastRenderedPageBreak/>
        <w:t>Die Eckpunkte werden derzeit erarbeitet und zeitnah veröffentlicht. Ziel ist es, dass für noch nicht ausgestattete Klassen an den Schulen technisch adäquate Lüftungs- bzw. Luftreinigungsanlagen bzw. -geräte durch die zuständigen Träger beschafft werden können. Die Schulaufwandsträger entscheiden, ob und welche Geräte in den Schulen eingesetzt werden. Unterstützung erfolgt</w:t>
      </w:r>
      <w:r w:rsidR="00FD5972">
        <w:t xml:space="preserve"> zudem durch großzügige Festset</w:t>
      </w:r>
      <w:r>
        <w:t>zungen von vorzeitigem Maßnahmenbeginn und Bewilligungszeitraum. Weit</w:t>
      </w:r>
      <w:r w:rsidR="00FD5972">
        <w:t>ere Vor</w:t>
      </w:r>
      <w:r>
        <w:t>gaben bezüglich der organisatorischen Umsetzung</w:t>
      </w:r>
      <w:r w:rsidR="00FD5972">
        <w:t xml:space="preserve"> werden seitens der Staatsregie</w:t>
      </w:r>
      <w:r>
        <w:t>rung nicht gemacht.</w:t>
      </w:r>
    </w:p>
    <w:p w:rsidR="004E2F84" w:rsidRDefault="004E2F84">
      <w:bookmarkStart w:id="44" w:name="Frage_Nr_21_Ende"/>
      <w:bookmarkEnd w:id="4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66E15" w:rsidTr="00A66E15">
        <w:tc>
          <w:tcPr>
            <w:tcW w:w="1883" w:type="dxa"/>
          </w:tcPr>
          <w:p w:rsidR="00A66E15" w:rsidRDefault="00A66E15" w:rsidP="00A66E15">
            <w:pPr>
              <w:pStyle w:val="LTAnfrageInitiator"/>
            </w:pPr>
            <w:r>
              <w:lastRenderedPageBreak/>
              <w:t>Abgeordnete</w:t>
            </w:r>
            <w:r>
              <w:rPr>
                <w:b/>
              </w:rPr>
              <w:br/>
              <w:t>Barbara</w:t>
            </w:r>
            <w:r>
              <w:rPr>
                <w:b/>
              </w:rPr>
              <w:br/>
              <w:t>Fuchs</w:t>
            </w:r>
            <w:r>
              <w:rPr>
                <w:b/>
              </w:rPr>
              <w:br/>
            </w:r>
            <w:r>
              <w:t>(BÜNDNIS 90/DIE GRÜNEN)</w:t>
            </w:r>
            <w:bookmarkStart w:id="45" w:name="Frage_Nr_22"/>
            <w:bookmarkEnd w:id="45"/>
          </w:p>
        </w:tc>
        <w:tc>
          <w:tcPr>
            <w:tcW w:w="5733" w:type="dxa"/>
          </w:tcPr>
          <w:p w:rsidR="00A66E15" w:rsidRPr="00E85D1C" w:rsidRDefault="00A66E15" w:rsidP="00E85D1C">
            <w:pPr>
              <w:pStyle w:val="LTAnfrageText"/>
            </w:pPr>
            <w:r w:rsidRPr="00E85D1C">
              <w:t>Ich frage die Staatsregierung, wie viele zusätzliche Vollzeitäquivalente werden zum kommenden Schuljahr durch das Arbeitszeitkonto von Grundschullehrkräften dadurch gewonnen, dass sie eine Stunde mehr arbeiten müssen, und wie viele Vollzeitäquivalente werden durch die erhöhte Mindeststundenzahl bei Teilzeit gewonnen?</w:t>
            </w:r>
          </w:p>
        </w:tc>
        <w:tc>
          <w:tcPr>
            <w:tcW w:w="5733" w:type="dxa"/>
          </w:tcPr>
          <w:p w:rsidR="00A66E15" w:rsidRDefault="00A66E15" w:rsidP="00A66E15">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Bei den Berechnungen, die der Einführung des Arbeitszeitkontos zugrunde liegen, wird von geschätzten Kapazitätsgewinnen für die Unterrichtsversorgung von rund 260 V</w:t>
      </w:r>
      <w:r w:rsidR="00B5204D">
        <w:t>ollzeitkapazität</w:t>
      </w:r>
      <w:r>
        <w:t xml:space="preserve"> im Schuljahr 2021/2022 ausgegangen.</w:t>
      </w:r>
    </w:p>
    <w:p w:rsidR="004E2F84" w:rsidRDefault="004E2F84" w:rsidP="000029BC">
      <w:pPr>
        <w:pStyle w:val="LTAntwortRessortText"/>
        <w:spacing w:before="0"/>
      </w:pPr>
      <w:r>
        <w:t>Eine Aussage zu den Kapazitätsgewinnen durch die erhöhte Mindeststundenzahl bei der Teilzeit kann nicht getroffen werden, da keine Prognose dazu möglich ist, welche Teilzeit ohne diese Einschränkungen beantragt worden wäre, zumal Teilzeitanträge/-bewilligungen im Schulbereich jährlich vorgen</w:t>
      </w:r>
      <w:r w:rsidR="00FD5972">
        <w:t>ommen werden. Zudem nehmen Lehr</w:t>
      </w:r>
      <w:r>
        <w:t>kräfte statt Antragsteilzeit auch Alternativen in Form von familienpolitischer Teilzeit, Altersteilzeit sowie begrenzter Dienstfähigkeit wa</w:t>
      </w:r>
      <w:r w:rsidR="00B5204D">
        <w:t>h</w:t>
      </w:r>
      <w:r>
        <w:t>r.</w:t>
      </w:r>
    </w:p>
    <w:p w:rsidR="004E2F84" w:rsidRDefault="004E2F84">
      <w:bookmarkStart w:id="46" w:name="Frage_Nr_22_Ende"/>
      <w:bookmarkEnd w:id="4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6811C0" w:rsidTr="006811C0">
        <w:tc>
          <w:tcPr>
            <w:tcW w:w="1896" w:type="dxa"/>
          </w:tcPr>
          <w:p w:rsidR="006811C0" w:rsidRDefault="006811C0" w:rsidP="006811C0">
            <w:pPr>
              <w:pStyle w:val="LTAnfrageInitiator"/>
            </w:pPr>
            <w:r>
              <w:lastRenderedPageBreak/>
              <w:t>Abgeordneter</w:t>
            </w:r>
            <w:r>
              <w:rPr>
                <w:b/>
              </w:rPr>
              <w:br/>
              <w:t>Thomas</w:t>
            </w:r>
            <w:r>
              <w:rPr>
                <w:b/>
              </w:rPr>
              <w:br/>
              <w:t>Gehring</w:t>
            </w:r>
            <w:r>
              <w:rPr>
                <w:b/>
              </w:rPr>
              <w:br/>
            </w:r>
            <w:r>
              <w:t>(BÜNDNIS 90/DIE GRÜNEN)</w:t>
            </w:r>
            <w:bookmarkStart w:id="47" w:name="Frage_Nr_23"/>
            <w:bookmarkEnd w:id="47"/>
          </w:p>
        </w:tc>
        <w:tc>
          <w:tcPr>
            <w:tcW w:w="5720" w:type="dxa"/>
          </w:tcPr>
          <w:p w:rsidR="006811C0" w:rsidRPr="00E85D1C" w:rsidRDefault="006811C0" w:rsidP="00E85D1C">
            <w:pPr>
              <w:pStyle w:val="LTAnfrageText"/>
            </w:pPr>
            <w:r w:rsidRPr="00E85D1C">
              <w:t>Ich frage die Staatsregierung, ist aufgrund des Lehrkräftemangels beabsichtigt, den Unterricht an Mittelschulen zu reduzieren (bitte Antwort hinsichtlich Pflichtunterricht, Randstunden, Arbeitsgruppen) und falls ja, welche Fächer sind betroffen und wie kann das kompensiert werden? </w:t>
            </w:r>
          </w:p>
        </w:tc>
        <w:tc>
          <w:tcPr>
            <w:tcW w:w="5720" w:type="dxa"/>
          </w:tcPr>
          <w:p w:rsidR="006811C0" w:rsidRDefault="006811C0" w:rsidP="006811C0">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Die aktuellen Lehrerbedarfsprognosen gehen auch in den kommenden Schuljahren im Bereich der Grund- und Mittelschulen von hohen Einstellungsbedarfen aus. Das Staatsministerium hat aber rechtzeitig eine Vielzahl an Maßnahmen ergriffen, um die Unterrichtsversorgung an den genannten Schularten sicherzustellen.</w:t>
      </w:r>
    </w:p>
    <w:p w:rsidR="004E2F84" w:rsidRDefault="004E2F84" w:rsidP="004E2F84">
      <w:pPr>
        <w:pStyle w:val="LTAntwortRessortText"/>
      </w:pPr>
      <w:r>
        <w:t>Eine Reduzierung des Unterrichts an Mittelschulen zum Schuljahr 2021/2022 ist nicht beabsichtigt. Das Volumen der Unterrichtsstunden, die für die Schülerinnen und Schüler zur Verfügung stehen, bleibt nicht nur vollu</w:t>
      </w:r>
      <w:r w:rsidR="00FD5972">
        <w:t>mfänglich auf dem bisherigen Ni</w:t>
      </w:r>
      <w:r>
        <w:t>veau erhalten, sondern wird vielmehr durch das zu</w:t>
      </w:r>
      <w:r w:rsidR="00FD5972">
        <w:t>m Schuljahr 2019/2020 neu einge</w:t>
      </w:r>
      <w:r>
        <w:t>führte Unterrichtsfach Informatik weiter ausgebaut, das zum Schuljahr 2021/2022 wie vorgesehen in die Jahrgangsstufe 9 aufwächst.</w:t>
      </w:r>
    </w:p>
    <w:p w:rsidR="004E2F84" w:rsidRDefault="004E2F84">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811C0" w:rsidTr="006811C0">
        <w:tc>
          <w:tcPr>
            <w:tcW w:w="1883" w:type="dxa"/>
          </w:tcPr>
          <w:p w:rsidR="006811C0" w:rsidRDefault="006811C0" w:rsidP="006811C0">
            <w:pPr>
              <w:pStyle w:val="LTAnfrageInitiator"/>
            </w:pPr>
            <w:r>
              <w:lastRenderedPageBreak/>
              <w:t>Abgeordneter</w:t>
            </w:r>
            <w:r>
              <w:rPr>
                <w:b/>
              </w:rPr>
              <w:br/>
              <w:t>Hep</w:t>
            </w:r>
            <w:r>
              <w:rPr>
                <w:b/>
              </w:rPr>
              <w:br/>
              <w:t>Monatzeder</w:t>
            </w:r>
            <w:r>
              <w:rPr>
                <w:b/>
              </w:rPr>
              <w:br/>
            </w:r>
            <w:r>
              <w:t>(BÜNDNIS 90/DIE GRÜNEN)</w:t>
            </w:r>
            <w:bookmarkStart w:id="49" w:name="Frage_Nr_24"/>
            <w:bookmarkEnd w:id="49"/>
          </w:p>
        </w:tc>
        <w:tc>
          <w:tcPr>
            <w:tcW w:w="5733" w:type="dxa"/>
          </w:tcPr>
          <w:p w:rsidR="006811C0" w:rsidRPr="00E85D1C" w:rsidRDefault="006811C0" w:rsidP="00E85D1C">
            <w:pPr>
              <w:pStyle w:val="LTAnfrageText"/>
            </w:pPr>
            <w:r w:rsidRPr="00E85D1C">
              <w:t>Ich frage die Staatsregierung, wie wird Mehrarbeit an Mittelschulen vergütet, ist eine Veränderung der bestehenden Regelung beabsichtigt und falls ja, wie?</w:t>
            </w:r>
          </w:p>
        </w:tc>
        <w:tc>
          <w:tcPr>
            <w:tcW w:w="5733" w:type="dxa"/>
          </w:tcPr>
          <w:p w:rsidR="006811C0" w:rsidRDefault="006811C0" w:rsidP="006811C0">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Mehrarbeit an Mittelschulen wird wie im gesamten</w:t>
      </w:r>
      <w:r w:rsidR="00B5204D">
        <w:t xml:space="preserve"> Schulbereich nach Art. 87 Abs. </w:t>
      </w:r>
      <w:r>
        <w:t>5 Bayerisches Beamtengesetz in Verbindung mit der Bekanntmachung zur Mehrarbeit im Schulbereich vom 10. Oktober 2012 (KWMBl. 2012, S. 355) vergütet. Die Höhe der entsprechenden Mehrarbeitssätze sind Anlage 9 zum Bayerischen Besoldungsgesetz zu entnehmen.</w:t>
      </w:r>
    </w:p>
    <w:p w:rsidR="004E2F84" w:rsidRDefault="004E2F84" w:rsidP="000029BC">
      <w:pPr>
        <w:pStyle w:val="LTAntwortRessortText"/>
        <w:spacing w:before="0"/>
      </w:pPr>
      <w:r>
        <w:t>Eine Änderung der bestehenden Regelung ist nicht geplant.</w:t>
      </w:r>
    </w:p>
    <w:p w:rsidR="004E2F84" w:rsidRDefault="004E2F84">
      <w:bookmarkStart w:id="50" w:name="Frage_Nr_24_Ende"/>
      <w:bookmarkEnd w:id="5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811C0" w:rsidTr="006811C0">
        <w:tc>
          <w:tcPr>
            <w:tcW w:w="1883" w:type="dxa"/>
          </w:tcPr>
          <w:p w:rsidR="006811C0" w:rsidRDefault="006811C0" w:rsidP="006811C0">
            <w:pPr>
              <w:pStyle w:val="LTAnfrageInitiator"/>
            </w:pPr>
            <w:r>
              <w:lastRenderedPageBreak/>
              <w:t>Abgeordnete</w:t>
            </w:r>
            <w:r>
              <w:rPr>
                <w:b/>
              </w:rPr>
              <w:br/>
              <w:t>Verena</w:t>
            </w:r>
            <w:r>
              <w:rPr>
                <w:b/>
              </w:rPr>
              <w:br/>
              <w:t>Osgyan</w:t>
            </w:r>
            <w:r>
              <w:rPr>
                <w:b/>
              </w:rPr>
              <w:br/>
            </w:r>
            <w:r>
              <w:t>(BÜNDNIS 90/DIE GRÜNEN)</w:t>
            </w:r>
            <w:bookmarkStart w:id="51" w:name="Frage_Nr_25"/>
            <w:bookmarkEnd w:id="51"/>
          </w:p>
        </w:tc>
        <w:tc>
          <w:tcPr>
            <w:tcW w:w="5733" w:type="dxa"/>
          </w:tcPr>
          <w:p w:rsidR="006811C0" w:rsidRPr="00E85D1C" w:rsidRDefault="006811C0" w:rsidP="00E85D1C">
            <w:pPr>
              <w:pStyle w:val="LTAnfrageText"/>
            </w:pPr>
            <w:r w:rsidRPr="00E85D1C">
              <w:t>Ich frage die Staatsregierung, werden im kommenden Schuljahr abgelehnte Bewerberinnen und Bewerber von Realschulen und Gymnasien auch ohne Zweitqualifizierung an anderen Schularten eingesetzt, an welchen und mit welchen Vertragsbedingungen?</w:t>
            </w:r>
          </w:p>
        </w:tc>
        <w:tc>
          <w:tcPr>
            <w:tcW w:w="5733" w:type="dxa"/>
          </w:tcPr>
          <w:p w:rsidR="006811C0" w:rsidRDefault="006811C0" w:rsidP="006811C0">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Auf Grund des bestehenden erhöhten Bedarfs an Le</w:t>
      </w:r>
      <w:r w:rsidR="00FD5972">
        <w:t>hrkräften für Grund- und Mittel</w:t>
      </w:r>
      <w:r>
        <w:t>schulen sowie Förderschulen werden seit dem Jahr 2015 für Mittelschulen, seit 2017 für Grundschulen und seit 2016 für Förderschulen Zweitqualifizierungsmaßnahmen für Lehrkräfte mit der Lehramtsbefähigung für Re</w:t>
      </w:r>
      <w:r w:rsidR="00FD5972">
        <w:t>alschulen bzw. für Gymnasien an</w:t>
      </w:r>
      <w:r>
        <w:t>geboten. Auch zum September 2021 bestehen für diese Lehrkräfte Möglichkeiten zur Zweitqualifizierung nach Art. 22 Abs. 4 i.</w:t>
      </w:r>
      <w:r w:rsidR="00FD5972">
        <w:t> </w:t>
      </w:r>
      <w:r>
        <w:t>V.</w:t>
      </w:r>
      <w:r w:rsidR="00FD5972">
        <w:t> </w:t>
      </w:r>
      <w:r>
        <w:t>m. Abs. 2 Satz 2 Bay</w:t>
      </w:r>
      <w:r w:rsidR="00FD5972">
        <w:t>erisches Lehrerbil</w:t>
      </w:r>
      <w:r>
        <w:t>dungsgesetz. Die Maßnahmen haben das Ziel des Erwerbs der Lehramtsbefähigung für Grundschulen bzw. Mittelschulen sowie für Sonderpädagogik und führen zu einer unbefristeten Einstellung an diesen Schularten.</w:t>
      </w:r>
    </w:p>
    <w:p w:rsidR="004E2F84" w:rsidRDefault="004E2F84" w:rsidP="004E2F84">
      <w:pPr>
        <w:pStyle w:val="LTAntwortRessortText"/>
      </w:pPr>
      <w:r>
        <w:t>Darüber hinaus kommen weitere Bewerbergruppen für Aushilfstätigkeiten an allen Schularten in Frage. Zum Einsatz kommen für diesen Vertretungspool unter anderem auch fachlich vorgebildete Personen mit einer Lehramtsbefähigung oder einer ersten Lehramtsprüfung aus anderen Lehrämtern. Die tem</w:t>
      </w:r>
      <w:r w:rsidR="00FD5972">
        <w:t>poräre Beschäftigung dieses Per</w:t>
      </w:r>
      <w:r>
        <w:t>sonenkreises erfolgt auf Vertragsbasis, in der Reg</w:t>
      </w:r>
      <w:r w:rsidR="00FD5972">
        <w:t>el mit Jahresverträgen. Die Ein</w:t>
      </w:r>
      <w:r>
        <w:t>gruppierung erfolgt je nach Vorbildung und Einsatzschulart, bei Personen mit voller Lehramtsbefähigung für Realschule oder Gymnasien und einem Einsatz an Grund- oder Mittelschulen beispielsweise in der Entgeltgruppe E11, an Förderschulen bzw. den übrigen weiterführenden Schularten in der Entgeltgruppe E13.</w:t>
      </w:r>
    </w:p>
    <w:p w:rsidR="004E2F84" w:rsidRDefault="004E2F84">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w:t>
            </w:r>
            <w:r>
              <w:rPr>
                <w:b/>
              </w:rPr>
              <w:br/>
              <w:t>Stephanie</w:t>
            </w:r>
            <w:r>
              <w:rPr>
                <w:b/>
              </w:rPr>
              <w:br/>
              <w:t>Schuhknecht</w:t>
            </w:r>
            <w:r>
              <w:rPr>
                <w:b/>
              </w:rPr>
              <w:br/>
            </w:r>
            <w:r>
              <w:t>(BÜNDNIS 90/DIE GRÜNEN)</w:t>
            </w:r>
            <w:bookmarkStart w:id="53" w:name="Frage_Nr_26"/>
            <w:bookmarkEnd w:id="53"/>
          </w:p>
        </w:tc>
        <w:tc>
          <w:tcPr>
            <w:tcW w:w="5733" w:type="dxa"/>
          </w:tcPr>
          <w:p w:rsidR="0059686D" w:rsidRPr="00E85D1C" w:rsidRDefault="0059686D" w:rsidP="00E85D1C">
            <w:pPr>
              <w:pStyle w:val="LTAnfrageText"/>
            </w:pPr>
            <w:r w:rsidRPr="00E85D1C">
              <w:t>Ich frage die Staatsregierung, wie viele Grundschullehrkräfte (Vollzeitäquivalente) werden derzeit an anderen Schularten eingesetzt (bitte Angabe aufgeschlüsselt nach Schularten)?</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Insgesamt unterrichten an den allgemeinbildenden Schularten einschließlich der Grundschule (ohne Wirtschaftsschulen bzw. Schulen de</w:t>
      </w:r>
      <w:r w:rsidR="00B5204D">
        <w:t>s zweiten Bildungswegs) rund 21 </w:t>
      </w:r>
      <w:r>
        <w:t>594 Lehrkräfte mit Lehramt an Grundschul</w:t>
      </w:r>
      <w:r w:rsidR="00FD5972">
        <w:t>en (umgerechnet in Vollzeitkapa</w:t>
      </w:r>
      <w:r>
        <w:t xml:space="preserve">zitäten), darunter 973 Vollzeitlehrerkapazitäten (bzw. 4,5 </w:t>
      </w:r>
      <w:r w:rsidR="003F1661">
        <w:t>Prozent</w:t>
      </w:r>
      <w:r>
        <w:t>) mit einer Tätigkeit an anderen Schularten als der Grundschule. Die genaue Verteilung auf die Schularten kann der nachstehenden Tabelle entnommen werden:</w:t>
      </w:r>
    </w:p>
    <w:p w:rsidR="004E2F84" w:rsidRDefault="004E2F84" w:rsidP="004E2F84">
      <w:pPr>
        <w:pStyle w:val="LTAntwortRessortText"/>
      </w:pPr>
    </w:p>
    <w:p w:rsidR="00436378" w:rsidRPr="00436378" w:rsidRDefault="00436378" w:rsidP="00436378">
      <w:pPr>
        <w:spacing w:before="56" w:line="259" w:lineRule="auto"/>
        <w:ind w:left="340" w:right="2699"/>
        <w:rPr>
          <w:rFonts w:cs="Arial"/>
          <w:b/>
          <w:sz w:val="16"/>
        </w:rPr>
      </w:pPr>
      <w:r w:rsidRPr="00436378">
        <w:rPr>
          <w:rFonts w:cs="Arial"/>
          <w:b/>
          <w:sz w:val="18"/>
        </w:rPr>
        <w:t>Tabelle. Lehrkräfte mit Lehramt an Grundschulen (umgerechnet in Vollzeitlehrer</w:t>
      </w:r>
      <w:r w:rsidR="00B5204D">
        <w:rPr>
          <w:rFonts w:cs="Arial"/>
          <w:b/>
          <w:sz w:val="18"/>
        </w:rPr>
        <w:t>einheiten) an anderen allgemein</w:t>
      </w:r>
      <w:r w:rsidRPr="00436378">
        <w:rPr>
          <w:rFonts w:cs="Arial"/>
          <w:b/>
          <w:sz w:val="18"/>
        </w:rPr>
        <w:t>bildenden Schulen (ohne Wirtschaftsschulen bzw. Schulen des zweiten Bildungswegs) als der Grundschule im Schuljahr 2020/2021</w:t>
      </w:r>
    </w:p>
    <w:p w:rsidR="00436378" w:rsidRDefault="00436378" w:rsidP="00436378">
      <w:pPr>
        <w:pStyle w:val="Textkrper"/>
        <w:rPr>
          <w:rFonts w:ascii="Calibri"/>
          <w:b/>
          <w:sz w:val="10"/>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0"/>
        <w:gridCol w:w="2674"/>
      </w:tblGrid>
      <w:tr w:rsidR="00436378" w:rsidTr="00436378">
        <w:trPr>
          <w:trHeight w:val="1104"/>
        </w:trPr>
        <w:tc>
          <w:tcPr>
            <w:tcW w:w="3920" w:type="dxa"/>
            <w:shd w:val="clear" w:color="auto" w:fill="D9D9D9"/>
          </w:tcPr>
          <w:p w:rsidR="00436378" w:rsidRPr="00436378" w:rsidRDefault="00436378" w:rsidP="00436378">
            <w:pPr>
              <w:pStyle w:val="TableParagraph"/>
              <w:ind w:left="0" w:firstLine="37"/>
              <w:rPr>
                <w:rFonts w:ascii="Arial" w:hAnsi="Arial" w:cs="Arial"/>
                <w:b/>
                <w:sz w:val="18"/>
              </w:rPr>
            </w:pPr>
          </w:p>
          <w:p w:rsidR="00436378" w:rsidRPr="00436378" w:rsidRDefault="00436378" w:rsidP="00436378">
            <w:pPr>
              <w:pStyle w:val="TableParagraph"/>
              <w:ind w:left="0" w:right="1653" w:firstLine="37"/>
              <w:rPr>
                <w:rFonts w:ascii="Arial" w:hAnsi="Arial" w:cs="Arial"/>
                <w:sz w:val="18"/>
              </w:rPr>
            </w:pPr>
            <w:r w:rsidRPr="00436378">
              <w:rPr>
                <w:rFonts w:ascii="Arial" w:hAnsi="Arial" w:cs="Arial"/>
                <w:sz w:val="18"/>
              </w:rPr>
              <w:t>Schulart</w:t>
            </w:r>
          </w:p>
        </w:tc>
        <w:tc>
          <w:tcPr>
            <w:tcW w:w="2674" w:type="dxa"/>
            <w:shd w:val="clear" w:color="auto" w:fill="D9D9D9"/>
          </w:tcPr>
          <w:p w:rsidR="00436378" w:rsidRPr="00436378" w:rsidRDefault="00436378" w:rsidP="00436378">
            <w:pPr>
              <w:pStyle w:val="TableParagraph"/>
              <w:spacing w:before="37" w:line="256" w:lineRule="auto"/>
              <w:ind w:left="0" w:right="153" w:firstLine="37"/>
              <w:rPr>
                <w:rFonts w:ascii="Arial" w:hAnsi="Arial" w:cs="Arial"/>
                <w:sz w:val="18"/>
              </w:rPr>
            </w:pPr>
            <w:r w:rsidRPr="00436378">
              <w:rPr>
                <w:rFonts w:ascii="Arial" w:hAnsi="Arial" w:cs="Arial"/>
                <w:sz w:val="18"/>
              </w:rPr>
              <w:t>Lehrkräfte mit Lehramt an Grundschulen</w:t>
            </w:r>
            <w:r w:rsidRPr="00436378">
              <w:rPr>
                <w:rFonts w:ascii="Arial" w:hAnsi="Arial" w:cs="Arial"/>
                <w:spacing w:val="-18"/>
                <w:sz w:val="18"/>
              </w:rPr>
              <w:t xml:space="preserve"> </w:t>
            </w:r>
            <w:r w:rsidRPr="00436378">
              <w:rPr>
                <w:rFonts w:ascii="Arial" w:hAnsi="Arial" w:cs="Arial"/>
                <w:sz w:val="18"/>
              </w:rPr>
              <w:t>(umgerechnet in Vollzeitlehrereinheiten) im Schuljahr</w:t>
            </w:r>
            <w:r w:rsidRPr="00436378">
              <w:rPr>
                <w:rFonts w:ascii="Arial" w:hAnsi="Arial" w:cs="Arial"/>
                <w:spacing w:val="-8"/>
                <w:sz w:val="18"/>
              </w:rPr>
              <w:t xml:space="preserve"> </w:t>
            </w:r>
            <w:r w:rsidRPr="00436378">
              <w:rPr>
                <w:rFonts w:ascii="Arial" w:hAnsi="Arial" w:cs="Arial"/>
                <w:sz w:val="18"/>
              </w:rPr>
              <w:t>2020/2021</w:t>
            </w:r>
          </w:p>
        </w:tc>
      </w:tr>
      <w:tr w:rsidR="00436378" w:rsidTr="005948CA">
        <w:trPr>
          <w:trHeight w:val="299"/>
        </w:trPr>
        <w:tc>
          <w:tcPr>
            <w:tcW w:w="3920" w:type="dxa"/>
            <w:tcBorders>
              <w:bottom w:val="single" w:sz="4" w:space="0" w:color="auto"/>
            </w:tcBorders>
          </w:tcPr>
          <w:p w:rsidR="00436378" w:rsidRPr="00436378" w:rsidRDefault="00436378" w:rsidP="00436378">
            <w:pPr>
              <w:pStyle w:val="TableParagraph"/>
              <w:spacing w:before="13"/>
              <w:ind w:left="35" w:firstLine="37"/>
              <w:rPr>
                <w:rFonts w:ascii="Arial" w:hAnsi="Arial" w:cs="Arial"/>
                <w:sz w:val="18"/>
              </w:rPr>
            </w:pPr>
            <w:r w:rsidRPr="00436378">
              <w:rPr>
                <w:rFonts w:ascii="Arial" w:hAnsi="Arial" w:cs="Arial"/>
                <w:sz w:val="18"/>
              </w:rPr>
              <w:t>Mittel-/Hauptschule</w:t>
            </w:r>
          </w:p>
        </w:tc>
        <w:tc>
          <w:tcPr>
            <w:tcW w:w="2674" w:type="dxa"/>
            <w:tcBorders>
              <w:bottom w:val="single" w:sz="4" w:space="0" w:color="auto"/>
            </w:tcBorders>
          </w:tcPr>
          <w:p w:rsidR="00436378" w:rsidRPr="00436378" w:rsidRDefault="00436378" w:rsidP="00436378">
            <w:pPr>
              <w:pStyle w:val="TableParagraph"/>
              <w:spacing w:before="13"/>
              <w:ind w:right="164" w:firstLine="37"/>
              <w:jc w:val="center"/>
              <w:rPr>
                <w:rFonts w:ascii="Arial" w:hAnsi="Arial" w:cs="Arial"/>
                <w:sz w:val="18"/>
              </w:rPr>
            </w:pPr>
            <w:r w:rsidRPr="00436378">
              <w:rPr>
                <w:rFonts w:ascii="Arial" w:hAnsi="Arial" w:cs="Arial"/>
                <w:w w:val="95"/>
                <w:sz w:val="18"/>
              </w:rPr>
              <w:t>712</w:t>
            </w:r>
          </w:p>
        </w:tc>
      </w:tr>
      <w:tr w:rsidR="00436378" w:rsidTr="005948CA">
        <w:trPr>
          <w:trHeight w:val="290"/>
        </w:trPr>
        <w:tc>
          <w:tcPr>
            <w:tcW w:w="3920" w:type="dxa"/>
            <w:tcBorders>
              <w:top w:val="single" w:sz="4" w:space="0" w:color="auto"/>
              <w:bottom w:val="single" w:sz="4" w:space="0" w:color="auto"/>
            </w:tcBorders>
          </w:tcPr>
          <w:p w:rsidR="00436378" w:rsidRPr="00436378" w:rsidRDefault="00436378" w:rsidP="00436378">
            <w:pPr>
              <w:pStyle w:val="TableParagraph"/>
              <w:ind w:left="35" w:firstLine="37"/>
              <w:rPr>
                <w:rFonts w:ascii="Arial" w:hAnsi="Arial" w:cs="Arial"/>
                <w:sz w:val="18"/>
              </w:rPr>
            </w:pPr>
            <w:r w:rsidRPr="00436378">
              <w:rPr>
                <w:rFonts w:ascii="Arial" w:hAnsi="Arial" w:cs="Arial"/>
                <w:sz w:val="18"/>
              </w:rPr>
              <w:t>Realschule</w:t>
            </w:r>
          </w:p>
        </w:tc>
        <w:tc>
          <w:tcPr>
            <w:tcW w:w="2674" w:type="dxa"/>
            <w:tcBorders>
              <w:top w:val="single" w:sz="4" w:space="0" w:color="auto"/>
              <w:bottom w:val="single" w:sz="4" w:space="0" w:color="auto"/>
            </w:tcBorders>
          </w:tcPr>
          <w:p w:rsidR="00436378" w:rsidRPr="00436378" w:rsidRDefault="00436378" w:rsidP="00436378">
            <w:pPr>
              <w:pStyle w:val="TableParagraph"/>
              <w:ind w:right="165" w:firstLine="37"/>
              <w:jc w:val="center"/>
              <w:rPr>
                <w:rFonts w:ascii="Arial" w:hAnsi="Arial" w:cs="Arial"/>
                <w:sz w:val="18"/>
              </w:rPr>
            </w:pPr>
            <w:r w:rsidRPr="00436378">
              <w:rPr>
                <w:rFonts w:ascii="Arial" w:hAnsi="Arial" w:cs="Arial"/>
                <w:w w:val="99"/>
                <w:sz w:val="18"/>
              </w:rPr>
              <w:t>7</w:t>
            </w:r>
          </w:p>
        </w:tc>
      </w:tr>
      <w:tr w:rsidR="00436378" w:rsidTr="005948CA">
        <w:trPr>
          <w:trHeight w:val="290"/>
        </w:trPr>
        <w:tc>
          <w:tcPr>
            <w:tcW w:w="3920" w:type="dxa"/>
            <w:tcBorders>
              <w:top w:val="single" w:sz="4" w:space="0" w:color="auto"/>
              <w:bottom w:val="single" w:sz="4" w:space="0" w:color="auto"/>
            </w:tcBorders>
          </w:tcPr>
          <w:p w:rsidR="00436378" w:rsidRPr="00436378" w:rsidRDefault="00436378" w:rsidP="00436378">
            <w:pPr>
              <w:pStyle w:val="TableParagraph"/>
              <w:ind w:left="35" w:firstLine="37"/>
              <w:rPr>
                <w:rFonts w:ascii="Arial" w:hAnsi="Arial" w:cs="Arial"/>
                <w:sz w:val="18"/>
              </w:rPr>
            </w:pPr>
            <w:r w:rsidRPr="00436378">
              <w:rPr>
                <w:rFonts w:ascii="Arial" w:hAnsi="Arial" w:cs="Arial"/>
                <w:sz w:val="18"/>
              </w:rPr>
              <w:t>Gymnasium</w:t>
            </w:r>
          </w:p>
        </w:tc>
        <w:tc>
          <w:tcPr>
            <w:tcW w:w="2674" w:type="dxa"/>
            <w:tcBorders>
              <w:top w:val="single" w:sz="4" w:space="0" w:color="auto"/>
              <w:bottom w:val="single" w:sz="4" w:space="0" w:color="auto"/>
            </w:tcBorders>
          </w:tcPr>
          <w:p w:rsidR="00436378" w:rsidRPr="00436378" w:rsidRDefault="00436378" w:rsidP="00436378">
            <w:pPr>
              <w:pStyle w:val="TableParagraph"/>
              <w:ind w:right="165" w:firstLine="37"/>
              <w:jc w:val="center"/>
              <w:rPr>
                <w:rFonts w:ascii="Arial" w:hAnsi="Arial" w:cs="Arial"/>
                <w:sz w:val="18"/>
              </w:rPr>
            </w:pPr>
            <w:r w:rsidRPr="00436378">
              <w:rPr>
                <w:rFonts w:ascii="Arial" w:hAnsi="Arial" w:cs="Arial"/>
                <w:w w:val="99"/>
                <w:sz w:val="18"/>
              </w:rPr>
              <w:t>8</w:t>
            </w:r>
          </w:p>
        </w:tc>
      </w:tr>
      <w:tr w:rsidR="00436378" w:rsidTr="005948CA">
        <w:trPr>
          <w:trHeight w:val="290"/>
        </w:trPr>
        <w:tc>
          <w:tcPr>
            <w:tcW w:w="3920" w:type="dxa"/>
            <w:tcBorders>
              <w:top w:val="single" w:sz="4" w:space="0" w:color="auto"/>
              <w:bottom w:val="single" w:sz="4" w:space="0" w:color="auto"/>
            </w:tcBorders>
          </w:tcPr>
          <w:p w:rsidR="00436378" w:rsidRPr="00436378" w:rsidRDefault="00436378" w:rsidP="00436378">
            <w:pPr>
              <w:pStyle w:val="TableParagraph"/>
              <w:ind w:left="35" w:firstLine="37"/>
              <w:rPr>
                <w:rFonts w:ascii="Arial" w:hAnsi="Arial" w:cs="Arial"/>
                <w:sz w:val="18"/>
              </w:rPr>
            </w:pPr>
            <w:r w:rsidRPr="00436378">
              <w:rPr>
                <w:rFonts w:ascii="Arial" w:hAnsi="Arial" w:cs="Arial"/>
                <w:sz w:val="18"/>
              </w:rPr>
              <w:t>Schulen besonderer Art</w:t>
            </w:r>
          </w:p>
        </w:tc>
        <w:tc>
          <w:tcPr>
            <w:tcW w:w="2674" w:type="dxa"/>
            <w:tcBorders>
              <w:top w:val="single" w:sz="4" w:space="0" w:color="auto"/>
              <w:bottom w:val="single" w:sz="4" w:space="0" w:color="auto"/>
            </w:tcBorders>
          </w:tcPr>
          <w:p w:rsidR="00436378" w:rsidRPr="00436378" w:rsidRDefault="00436378" w:rsidP="00436378">
            <w:pPr>
              <w:pStyle w:val="TableParagraph"/>
              <w:ind w:right="165" w:firstLine="37"/>
              <w:jc w:val="center"/>
              <w:rPr>
                <w:rFonts w:ascii="Arial" w:hAnsi="Arial" w:cs="Arial"/>
                <w:sz w:val="18"/>
              </w:rPr>
            </w:pPr>
            <w:r w:rsidRPr="00436378">
              <w:rPr>
                <w:rFonts w:ascii="Arial" w:hAnsi="Arial" w:cs="Arial"/>
                <w:w w:val="99"/>
                <w:sz w:val="18"/>
              </w:rPr>
              <w:t>4</w:t>
            </w:r>
          </w:p>
        </w:tc>
      </w:tr>
      <w:tr w:rsidR="00436378" w:rsidTr="005948CA">
        <w:trPr>
          <w:trHeight w:val="290"/>
        </w:trPr>
        <w:tc>
          <w:tcPr>
            <w:tcW w:w="3920" w:type="dxa"/>
            <w:tcBorders>
              <w:top w:val="single" w:sz="4" w:space="0" w:color="auto"/>
              <w:bottom w:val="single" w:sz="4" w:space="0" w:color="auto"/>
            </w:tcBorders>
          </w:tcPr>
          <w:p w:rsidR="00436378" w:rsidRPr="00436378" w:rsidRDefault="00436378" w:rsidP="00436378">
            <w:pPr>
              <w:pStyle w:val="TableParagraph"/>
              <w:ind w:left="35" w:firstLine="37"/>
              <w:rPr>
                <w:rFonts w:ascii="Arial" w:hAnsi="Arial" w:cs="Arial"/>
                <w:sz w:val="18"/>
              </w:rPr>
            </w:pPr>
            <w:r w:rsidRPr="00436378">
              <w:rPr>
                <w:rFonts w:ascii="Arial" w:hAnsi="Arial" w:cs="Arial"/>
                <w:sz w:val="18"/>
              </w:rPr>
              <w:t>Freie Waldorfschule</w:t>
            </w:r>
          </w:p>
        </w:tc>
        <w:tc>
          <w:tcPr>
            <w:tcW w:w="2674" w:type="dxa"/>
            <w:tcBorders>
              <w:top w:val="single" w:sz="4" w:space="0" w:color="auto"/>
              <w:bottom w:val="single" w:sz="4" w:space="0" w:color="auto"/>
            </w:tcBorders>
          </w:tcPr>
          <w:p w:rsidR="00436378" w:rsidRPr="00436378" w:rsidRDefault="00436378" w:rsidP="00436378">
            <w:pPr>
              <w:pStyle w:val="TableParagraph"/>
              <w:ind w:right="165" w:firstLine="37"/>
              <w:jc w:val="center"/>
              <w:rPr>
                <w:rFonts w:ascii="Arial" w:hAnsi="Arial" w:cs="Arial"/>
                <w:sz w:val="18"/>
              </w:rPr>
            </w:pPr>
            <w:r w:rsidRPr="00436378">
              <w:rPr>
                <w:rFonts w:ascii="Arial" w:hAnsi="Arial" w:cs="Arial"/>
                <w:w w:val="95"/>
                <w:sz w:val="18"/>
              </w:rPr>
              <w:t>22</w:t>
            </w:r>
          </w:p>
        </w:tc>
      </w:tr>
      <w:tr w:rsidR="00436378" w:rsidTr="005948CA">
        <w:trPr>
          <w:trHeight w:val="261"/>
        </w:trPr>
        <w:tc>
          <w:tcPr>
            <w:tcW w:w="3920" w:type="dxa"/>
            <w:tcBorders>
              <w:top w:val="single" w:sz="4" w:space="0" w:color="auto"/>
            </w:tcBorders>
          </w:tcPr>
          <w:p w:rsidR="00436378" w:rsidRPr="00436378" w:rsidRDefault="00436378" w:rsidP="00436378">
            <w:pPr>
              <w:pStyle w:val="TableParagraph"/>
              <w:spacing w:line="237" w:lineRule="exact"/>
              <w:ind w:left="35" w:firstLine="37"/>
              <w:rPr>
                <w:rFonts w:ascii="Arial" w:hAnsi="Arial" w:cs="Arial"/>
                <w:sz w:val="18"/>
              </w:rPr>
            </w:pPr>
            <w:r w:rsidRPr="00436378">
              <w:rPr>
                <w:rFonts w:ascii="Arial" w:hAnsi="Arial" w:cs="Arial"/>
                <w:sz w:val="18"/>
              </w:rPr>
              <w:t>Förderzentrum (einschl. Schulen für Kranke)</w:t>
            </w:r>
          </w:p>
        </w:tc>
        <w:tc>
          <w:tcPr>
            <w:tcW w:w="2674" w:type="dxa"/>
            <w:tcBorders>
              <w:top w:val="single" w:sz="4" w:space="0" w:color="auto"/>
            </w:tcBorders>
          </w:tcPr>
          <w:p w:rsidR="00436378" w:rsidRPr="00436378" w:rsidRDefault="00436378" w:rsidP="00436378">
            <w:pPr>
              <w:pStyle w:val="TableParagraph"/>
              <w:spacing w:line="237" w:lineRule="exact"/>
              <w:ind w:right="164" w:firstLine="37"/>
              <w:jc w:val="center"/>
              <w:rPr>
                <w:rFonts w:ascii="Arial" w:hAnsi="Arial" w:cs="Arial"/>
                <w:sz w:val="18"/>
              </w:rPr>
            </w:pPr>
            <w:r w:rsidRPr="00436378">
              <w:rPr>
                <w:rFonts w:ascii="Arial" w:hAnsi="Arial" w:cs="Arial"/>
                <w:w w:val="95"/>
                <w:sz w:val="18"/>
              </w:rPr>
              <w:t>220</w:t>
            </w:r>
          </w:p>
        </w:tc>
      </w:tr>
    </w:tbl>
    <w:p w:rsidR="00436378" w:rsidRDefault="00436378" w:rsidP="004E2F84">
      <w:pPr>
        <w:pStyle w:val="LTAntwortRessortText"/>
      </w:pPr>
    </w:p>
    <w:p w:rsidR="004E2F84" w:rsidRDefault="004E2F84">
      <w:bookmarkStart w:id="54" w:name="Frage_Nr_26_Ende"/>
      <w:bookmarkEnd w:id="54"/>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59686D" w:rsidTr="0059686D">
        <w:tc>
          <w:tcPr>
            <w:tcW w:w="1918" w:type="dxa"/>
          </w:tcPr>
          <w:p w:rsidR="0059686D" w:rsidRDefault="0059686D" w:rsidP="0059686D">
            <w:pPr>
              <w:pStyle w:val="LTAnfrageInitiator"/>
            </w:pPr>
            <w:r>
              <w:lastRenderedPageBreak/>
              <w:t>Abgeordnete</w:t>
            </w:r>
            <w:r>
              <w:rPr>
                <w:b/>
              </w:rPr>
              <w:br/>
              <w:t>Anna</w:t>
            </w:r>
            <w:r>
              <w:rPr>
                <w:b/>
              </w:rPr>
              <w:br/>
              <w:t>Schwamberger</w:t>
            </w:r>
            <w:r>
              <w:rPr>
                <w:b/>
              </w:rPr>
              <w:br/>
            </w:r>
            <w:r>
              <w:t>(BÜNDNIS 90/DIE GRÜNEN)</w:t>
            </w:r>
            <w:bookmarkStart w:id="55" w:name="Frage_Nr_27"/>
            <w:bookmarkEnd w:id="55"/>
          </w:p>
        </w:tc>
        <w:tc>
          <w:tcPr>
            <w:tcW w:w="5698" w:type="dxa"/>
          </w:tcPr>
          <w:p w:rsidR="0059686D" w:rsidRPr="00E85D1C" w:rsidRDefault="0059686D" w:rsidP="00E85D1C">
            <w:pPr>
              <w:pStyle w:val="LTAnfrageText"/>
            </w:pPr>
            <w:r w:rsidRPr="00E85D1C">
              <w:t>Ich frage die Staatsregierung, wie hoch sind die aktuellen Einstellungszahlen von Lehrkräften an Grund-, Mittel- und Förderschulen, wie viele Bewerberinnen und Bewerber mussten an Realschulen und Gymnasien abgelehnt werden und wie viele der abgelehnten Bewerberinnen und Bewerber werden über eine Zweitqualifizierung im kommenden Schuljahr für Grund-, Mittel- und Förderschulen zur Verfügung stehen?</w:t>
            </w:r>
          </w:p>
        </w:tc>
        <w:tc>
          <w:tcPr>
            <w:tcW w:w="5698"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Das Einstellungsverfahren für Grund-, Mittel- und F</w:t>
      </w:r>
      <w:r w:rsidR="00FD5972">
        <w:t>örderschulen wird derzeit vorbe</w:t>
      </w:r>
      <w:r>
        <w:t>reitet. Es besteht Volleinstellung für alle Lehrkräfte mit einer Lehramtsbefähigung für diese Schularten. Aktuelle Einstellungszahlen kön</w:t>
      </w:r>
      <w:r w:rsidR="00FD5972">
        <w:t>nen erst nach Abschluss des Ein</w:t>
      </w:r>
      <w:r>
        <w:t xml:space="preserve">stellungsverfahrens benannt werden, da Meldungen </w:t>
      </w:r>
      <w:r w:rsidR="00FD5972">
        <w:t>zur Zweitqualifizierung noch ab</w:t>
      </w:r>
      <w:r>
        <w:t>gegeben werden, Nichtantritte erfolgen, Angebote an privaten Schulen o</w:t>
      </w:r>
      <w:r w:rsidR="00FD5972">
        <w:t>der den Uni</w:t>
      </w:r>
      <w:r>
        <w:t>versitäten angenommen werden etc.</w:t>
      </w:r>
    </w:p>
    <w:p w:rsidR="004E2F84" w:rsidRDefault="004E2F84" w:rsidP="004E2F84">
      <w:pPr>
        <w:pStyle w:val="LTAntwortRessortText"/>
      </w:pPr>
      <w:r>
        <w:t>Auch im Bereich der staatlichen Realschulen findet das Einstellungsverfahren (inkl. Nachbesetzungsverfahren bspw. wegen Absage von Stellenangeboten seitens der Bewerberinnen/Bewerber) im Zeitraum Mitte Juli bis Mitte August statt. Aussagen über die Anzahl tatsächlich eingestellter Bewerberinnen/Bewerber, die Anzahl der Bewerberinnen/Bewerber, die ein Stellenangebot abl</w:t>
      </w:r>
      <w:r w:rsidR="00FD5972">
        <w:t>ehnen etc. sind daher zum jetzi</w:t>
      </w:r>
      <w:r>
        <w:t>gen Zeitpunkt noch nicht möglich. Es wird darauf hingewiesen, dass jährlich auch eine größere Anzahl an Bewerberinnen/Bewerb</w:t>
      </w:r>
      <w:r w:rsidR="00FD5972">
        <w:t>ern Stellenangebote bei kommuna</w:t>
      </w:r>
      <w:r>
        <w:t>len, privaten oder kirchlichen Schulträgern annimmt und damit für eine Einstellung in den Staatsdienst (weder in der angestammten Schulart noch für eine Zweitqual</w:t>
      </w:r>
      <w:r w:rsidR="00FD5972">
        <w:t>i</w:t>
      </w:r>
      <w:r w:rsidR="00B5204D">
        <w:t>fi</w:t>
      </w:r>
      <w:r w:rsidR="00FD5972">
        <w:t>zie</w:t>
      </w:r>
      <w:r>
        <w:t>rung) überhaupt nicht zur Verfügung steht.</w:t>
      </w:r>
    </w:p>
    <w:p w:rsidR="004E2F84" w:rsidRDefault="004E2F84" w:rsidP="003D27C0">
      <w:pPr>
        <w:pStyle w:val="LTAntwortRessortText"/>
        <w:spacing w:before="0"/>
      </w:pPr>
      <w:r>
        <w:t>Das Einstellungsverfahren im Gymnasialbereich wird für die staatlichen Gymnasien erst Mitte bis Ende Juli durchgeführt, sodass noch keine entsprechenden Angaben möglich sind.</w:t>
      </w:r>
    </w:p>
    <w:p w:rsidR="004E2F84" w:rsidRDefault="004E2F84">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w:t>
            </w:r>
            <w:r>
              <w:rPr>
                <w:b/>
              </w:rPr>
              <w:br/>
              <w:t>Rosi</w:t>
            </w:r>
            <w:r>
              <w:rPr>
                <w:b/>
              </w:rPr>
              <w:br/>
              <w:t>Steinberger</w:t>
            </w:r>
            <w:r>
              <w:rPr>
                <w:b/>
              </w:rPr>
              <w:br/>
            </w:r>
            <w:r>
              <w:t>(BÜNDNIS 90/DIE GRÜNEN)</w:t>
            </w:r>
            <w:bookmarkStart w:id="57" w:name="Frage_Nr_28"/>
            <w:bookmarkEnd w:id="57"/>
          </w:p>
        </w:tc>
        <w:tc>
          <w:tcPr>
            <w:tcW w:w="5733" w:type="dxa"/>
          </w:tcPr>
          <w:p w:rsidR="0059686D" w:rsidRPr="00E85D1C" w:rsidRDefault="0059686D" w:rsidP="00E85D1C">
            <w:pPr>
              <w:pStyle w:val="LTAnfrageText"/>
            </w:pPr>
            <w:r w:rsidRPr="00E85D1C">
              <w:t>Ich frage die Staatsregierung, wie viele Lehrkräfte sind im kommenden Schuljahr für die Mobile Reserve vorgesehen, gibt es eine extra Aufstockung in Anbetracht des „Unterrichtsverbots“ für Schwangere und werden in der Mobilen Reserve auch „anders Qualifizierte“ eingesetzt?</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Die Sicherstellung des Unterrichts ist dem Staatsministerium ein wichtiges Anliegen. Dabei hat die Vermeidung von Unterrichtsausfall bei krankheitsbedingter</w:t>
      </w:r>
      <w:r w:rsidR="00FD5972">
        <w:t xml:space="preserve"> Abwesen</w:t>
      </w:r>
      <w:r>
        <w:t>heit von Lehrkräften sehr hohe Priorität. Die sogen</w:t>
      </w:r>
      <w:r w:rsidR="00FD5972">
        <w:t>annte Mobile Reserve für Vertre</w:t>
      </w:r>
      <w:r>
        <w:t xml:space="preserve">tungseinsätze wurde daher in den letzten Jahren auf </w:t>
      </w:r>
      <w:r w:rsidR="00144123">
        <w:t>2 </w:t>
      </w:r>
      <w:r w:rsidR="00FD5972">
        <w:t>500 Vollzeitkapazitäten aufge</w:t>
      </w:r>
      <w:r>
        <w:t>stockt.</w:t>
      </w:r>
    </w:p>
    <w:p w:rsidR="004E2F84" w:rsidRDefault="004E2F84" w:rsidP="004E2F84">
      <w:pPr>
        <w:pStyle w:val="LTAntwortRessortText"/>
      </w:pPr>
      <w:r>
        <w:t>Die Personalplanung für das Schuljahr 2021/</w:t>
      </w:r>
      <w:r w:rsidR="00FD5972">
        <w:t>20</w:t>
      </w:r>
      <w:r>
        <w:t>22 findet aktuell statt. Über die Größe der Mobilen Reserve im kommenden Schuljahr kann dementsprechend noch keine Aussage getroffen werden.</w:t>
      </w:r>
    </w:p>
    <w:p w:rsidR="004E2F84" w:rsidRDefault="004E2F84" w:rsidP="004E2F84">
      <w:pPr>
        <w:pStyle w:val="LTAntwortRessortText"/>
      </w:pPr>
      <w:r>
        <w:t>Für die Bildung der Mobilen Reserve sind im Bereich der Grund- und Mittelschulen in erster Linie Lehrkräfte vorgesehen, die die Befähigung für d</w:t>
      </w:r>
      <w:r w:rsidR="00FD5972">
        <w:t>as Lehramt an Grund- o</w:t>
      </w:r>
      <w:r>
        <w:t>der Mittelschulen durch das erfolgreiche Bestehen</w:t>
      </w:r>
      <w:r w:rsidR="00FD5972">
        <w:t xml:space="preserve"> zweier Lehramtsprüfungen erwor</w:t>
      </w:r>
      <w:r>
        <w:t>ben haben. Sollten diese nicht ausreichen, um</w:t>
      </w:r>
      <w:r w:rsidR="00FD5972">
        <w:t xml:space="preserve"> notwendige Vertretungen abzude</w:t>
      </w:r>
      <w:r>
        <w:t>cken, ist vorgesehen, weiteres, für eine befristete Vertretung in Frage kommendes Personal einzubeziehen. Hierbei kommen auch Lehrkräfte anderer Lehrämter, Lehramtsstudierende höherer Semester sowie Lehramtsabsolventen mit bestandener 1. Lehramtsprüfung und möglicherweise Personen mit fachbezogenen Qualifikationen (</w:t>
      </w:r>
      <w:r w:rsidR="003F1661">
        <w:t>z. B.</w:t>
      </w:r>
      <w:r>
        <w:t xml:space="preserve"> für Englisch) in Frage.</w:t>
      </w:r>
    </w:p>
    <w:p w:rsidR="004E2F84" w:rsidRDefault="004E2F84">
      <w:bookmarkStart w:id="58" w:name="Frage_Nr_28_Ende"/>
      <w:bookmarkEnd w:id="58"/>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59686D" w:rsidTr="0059686D">
        <w:tc>
          <w:tcPr>
            <w:tcW w:w="1862" w:type="dxa"/>
          </w:tcPr>
          <w:p w:rsidR="0059686D" w:rsidRDefault="0059686D" w:rsidP="0059686D">
            <w:pPr>
              <w:pStyle w:val="LTAnfrageInitiator"/>
            </w:pPr>
            <w:r>
              <w:lastRenderedPageBreak/>
              <w:t>Abgeordnete</w:t>
            </w:r>
            <w:r>
              <w:rPr>
                <w:b/>
              </w:rPr>
              <w:br/>
              <w:t>Dr. Simone</w:t>
            </w:r>
            <w:r>
              <w:rPr>
                <w:b/>
              </w:rPr>
              <w:br/>
              <w:t>Strohmayr</w:t>
            </w:r>
            <w:r>
              <w:rPr>
                <w:b/>
              </w:rPr>
              <w:br/>
            </w:r>
            <w:r>
              <w:t>(SPD)</w:t>
            </w:r>
            <w:bookmarkStart w:id="59" w:name="Frage_Nr_29"/>
            <w:bookmarkEnd w:id="59"/>
          </w:p>
        </w:tc>
        <w:tc>
          <w:tcPr>
            <w:tcW w:w="5754" w:type="dxa"/>
          </w:tcPr>
          <w:p w:rsidR="0059686D" w:rsidRPr="00E85D1C" w:rsidRDefault="0059686D" w:rsidP="00E85D1C">
            <w:pPr>
              <w:pStyle w:val="LTAnfrageText"/>
            </w:pPr>
            <w:r w:rsidRPr="00E85D1C">
              <w:t>Ich frage die Staatsregierung, trifft es zu, dass die privaten Schulträger keine Mittel aus dem Corona-Aufholpaket des Bundes erhalten können und plant sie für die privaten Schulträger ein eigenes Programm aufzulegen? </w:t>
            </w:r>
          </w:p>
        </w:tc>
        <w:tc>
          <w:tcPr>
            <w:tcW w:w="5754"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Dies trifft nicht zu.</w:t>
      </w:r>
    </w:p>
    <w:p w:rsidR="004E2F84" w:rsidRDefault="004E2F84" w:rsidP="003D27C0">
      <w:pPr>
        <w:pStyle w:val="LTAntwortRessortText"/>
        <w:spacing w:before="0"/>
      </w:pPr>
      <w:r>
        <w:t xml:space="preserve">Mit den Mitteln aus dem Aktionsprogramm des Bundes </w:t>
      </w:r>
      <w:r w:rsidR="003F1661">
        <w:t>„</w:t>
      </w:r>
      <w:r>
        <w:t>Aufholen nach Corona für Kinder und Jugendliche</w:t>
      </w:r>
      <w:r w:rsidR="003F1661">
        <w:t>“</w:t>
      </w:r>
      <w:r>
        <w:t xml:space="preserve"> soll das Förderprogramm der Staatsregierung </w:t>
      </w:r>
      <w:r w:rsidR="003F1661">
        <w:t>„</w:t>
      </w:r>
      <w:r>
        <w:t>gemein-sam.Brücken.bauen</w:t>
      </w:r>
      <w:r w:rsidR="003F1661">
        <w:t>“</w:t>
      </w:r>
      <w:r>
        <w:t xml:space="preserve"> fortgesetzt und ausgeweitet werden. An der Fortsetzung von </w:t>
      </w:r>
      <w:r w:rsidR="003F1661">
        <w:t>„</w:t>
      </w:r>
      <w:r>
        <w:t>gemeinsam.Brücken.bauen</w:t>
      </w:r>
      <w:r w:rsidR="003F1661">
        <w:t>“</w:t>
      </w:r>
      <w:r>
        <w:t xml:space="preserve"> werden nichtstaatliche Schulen partizipieren können.</w:t>
      </w:r>
    </w:p>
    <w:p w:rsidR="004E2F84" w:rsidRDefault="004E2F84" w:rsidP="004E2F84">
      <w:pPr>
        <w:pStyle w:val="LTAntwortRessortText"/>
      </w:pPr>
      <w:r>
        <w:t xml:space="preserve">Da sich somit die nichtstaatlichen Schulen in den kommenden beiden Schuljahren 2021/2022 und 2022/2023 an </w:t>
      </w:r>
      <w:r w:rsidR="003F1661">
        <w:t>„</w:t>
      </w:r>
      <w:r>
        <w:t>gemeinsam.Brücken.bauen</w:t>
      </w:r>
      <w:r w:rsidR="003F1661">
        <w:t>“</w:t>
      </w:r>
      <w:r>
        <w:t xml:space="preserve"> beteiligen können, ist nicht geplant bzw. ist es nicht erforderlich, für die privaten Schulträger ein eigenes Programm aufzulegen.</w:t>
      </w:r>
    </w:p>
    <w:p w:rsidR="004E2F84" w:rsidRDefault="004E2F84">
      <w:bookmarkStart w:id="60" w:name="Frage_Nr_29_Ende"/>
      <w:bookmarkEnd w:id="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Abgeordneter</w:t>
            </w:r>
            <w:r>
              <w:rPr>
                <w:b/>
              </w:rPr>
              <w:br/>
              <w:t>Hans</w:t>
            </w:r>
            <w:r>
              <w:rPr>
                <w:b/>
              </w:rPr>
              <w:br/>
              <w:t>Urban</w:t>
            </w:r>
            <w:r>
              <w:rPr>
                <w:b/>
              </w:rPr>
              <w:br/>
            </w:r>
            <w:r>
              <w:t>(BÜNDNIS 90/DIE GRÜNEN)</w:t>
            </w:r>
            <w:bookmarkStart w:id="61" w:name="Frage_Nr_30"/>
            <w:bookmarkEnd w:id="61"/>
          </w:p>
        </w:tc>
        <w:tc>
          <w:tcPr>
            <w:tcW w:w="5733" w:type="dxa"/>
          </w:tcPr>
          <w:p w:rsidR="0059686D" w:rsidRPr="00E85D1C" w:rsidRDefault="0059686D" w:rsidP="00E85D1C">
            <w:pPr>
              <w:pStyle w:val="LTAnfrageText"/>
            </w:pPr>
            <w:r w:rsidRPr="00E85D1C">
              <w:t>Ich frage die Staatsregierung, wie viele Schülerinnen und Schüler derzeit in Bayern von der Maskenpflicht mit ärztlichem Attest befreit sind, wie viele Schülerinnen und Schüler derzeit in Bayern vom Unterricht abwesend sind (wegen Befreiung mit ärztlichem Attest, Beurlaubung bezüglich der Corona-Regelungen – § 20 Abs. 3 Bayerische Schulordnung</w:t>
            </w:r>
            <w:r w:rsidR="000673D4">
              <w:t xml:space="preserve"> (</w:t>
            </w:r>
            <w:r w:rsidR="00B5204D">
              <w:t>BaySchO</w:t>
            </w:r>
            <w:r w:rsidR="000673D4">
              <w:t>)</w:t>
            </w:r>
            <w:r w:rsidRPr="00E85D1C">
              <w:t>), fehlendem negativen Testergebnis oder wegen nicht vorhandener Durchführung eines Selbsttests in der Schule (bitte aufschlüsseln nach Landkreis und Grund – Testergebnis, Quarantäne, Befreiung, Beurlaubung und fehlendem Test)</w:t>
            </w:r>
            <w:r w:rsidR="000673D4">
              <w:t>,</w:t>
            </w:r>
            <w:r w:rsidRPr="00E85D1C">
              <w:t xml:space="preserve"> und ab wann die Staatsregierung Spucktests an den Schulen einzuführen plant?</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Der Tabelle im Anhang</w:t>
      </w:r>
      <w:r w:rsidR="003D27C0" w:rsidRPr="003D27C0">
        <w:rPr>
          <w:rStyle w:val="LTHyperlinkZchn"/>
          <w:b w:val="0"/>
        </w:rPr>
        <w:t>*)</w:t>
      </w:r>
      <w:r>
        <w:t xml:space="preserve"> kann die Anzahl der Schüler</w:t>
      </w:r>
      <w:r w:rsidR="00F210D0">
        <w:t>innen und Schüler an den bayeri</w:t>
      </w:r>
      <w:r>
        <w:t>schen Schulen entnommen werden, die zum Sticht</w:t>
      </w:r>
      <w:r w:rsidR="003D27C0">
        <w:t>ag 05.07.2021 mit ärztlichem At</w:t>
      </w:r>
      <w:r>
        <w:t>test von der Maskenpflicht auf dem Schulgelände befreit waren oder sich aus einem der folgenden Gründe nicht im Präsenzunterricht befanden:</w:t>
      </w:r>
    </w:p>
    <w:p w:rsidR="004E2F84" w:rsidRDefault="004E2F84" w:rsidP="003D27C0">
      <w:pPr>
        <w:pStyle w:val="LTAntwortRessortText"/>
        <w:numPr>
          <w:ilvl w:val="0"/>
          <w:numId w:val="29"/>
        </w:numPr>
        <w:spacing w:before="0"/>
        <w:ind w:left="697" w:hanging="357"/>
      </w:pPr>
      <w:r>
        <w:t xml:space="preserve">positiver </w:t>
      </w:r>
      <w:r w:rsidR="003F1661">
        <w:t>COVID</w:t>
      </w:r>
      <w:r>
        <w:t>-19-Test</w:t>
      </w:r>
    </w:p>
    <w:p w:rsidR="004E2F84" w:rsidRDefault="004E2F84" w:rsidP="003D27C0">
      <w:pPr>
        <w:pStyle w:val="LTAntwortRessortText"/>
        <w:numPr>
          <w:ilvl w:val="0"/>
          <w:numId w:val="29"/>
        </w:numPr>
        <w:spacing w:before="0"/>
        <w:ind w:left="697" w:hanging="357"/>
      </w:pPr>
      <w:r>
        <w:t>Quarantäneanordnung durch die Gesundheitsbehörden</w:t>
      </w:r>
    </w:p>
    <w:p w:rsidR="004E2F84" w:rsidRDefault="004E2F84" w:rsidP="003D27C0">
      <w:pPr>
        <w:pStyle w:val="LTAntwortRessortText"/>
        <w:numPr>
          <w:ilvl w:val="0"/>
          <w:numId w:val="29"/>
        </w:numPr>
        <w:spacing w:before="0"/>
        <w:ind w:left="697" w:hanging="357"/>
      </w:pPr>
      <w:r>
        <w:t xml:space="preserve">Befreiung vom Präsenzunterricht mit ärztlichem Attest oder Beurlaubung gem. § 20 Abs. 3 BaySchO </w:t>
      </w:r>
      <w:r w:rsidRPr="003D27C0">
        <w:rPr>
          <w:u w:val="single"/>
        </w:rPr>
        <w:t>oder</w:t>
      </w:r>
      <w:r>
        <w:t xml:space="preserve"> fehlender Nachweis eines negativen </w:t>
      </w:r>
      <w:r w:rsidR="003F1661">
        <w:t>COVID</w:t>
      </w:r>
      <w:r>
        <w:t xml:space="preserve">-19-Testergebnisses </w:t>
      </w:r>
      <w:r w:rsidRPr="003D27C0">
        <w:rPr>
          <w:u w:val="single"/>
        </w:rPr>
        <w:t>oder</w:t>
      </w:r>
      <w:r>
        <w:t xml:space="preserve"> fehlende Bereitschaft zur Durchführung eines Selbst-tests.</w:t>
      </w:r>
    </w:p>
    <w:p w:rsidR="004E2F84" w:rsidRDefault="004E2F84" w:rsidP="003D27C0">
      <w:pPr>
        <w:pStyle w:val="LTAntwortRessortText"/>
        <w:spacing w:before="0"/>
      </w:pPr>
      <w:r>
        <w:t>Eine differenzierte Erhebung der verschiedenen unter c) genannten Abwesenheits-gründe erfolgt aufgrund des damit verbundenen Mehraufwands für die Schulen bzw. auf der fehlenden Trennschärfe nicht. Ersatzweise wird daher für c) eine Gesamtzahl genannt, die die dort genannten Einzelgründe umfasst.</w:t>
      </w:r>
    </w:p>
    <w:p w:rsidR="004E2F84" w:rsidRDefault="004E2F84" w:rsidP="003D27C0">
      <w:pPr>
        <w:pStyle w:val="LTAntwortRessortText"/>
        <w:spacing w:before="0"/>
      </w:pPr>
      <w:r>
        <w:t>In Kreisen, in denen aufgrund der Fallzahlen Rückschlüsse auf einzelne Personen nicht gänzlich ausgeschlossen werden können, unterbleiben jeweils die Angaben.</w:t>
      </w:r>
    </w:p>
    <w:p w:rsidR="004E2F84" w:rsidRDefault="004E2F84" w:rsidP="004E2F84">
      <w:pPr>
        <w:pStyle w:val="LTAntwortRessortText"/>
      </w:pPr>
      <w:r>
        <w:t>Alle angeführten Daten beruhen auf der tagesak</w:t>
      </w:r>
      <w:r w:rsidR="00B5204D">
        <w:t>tuellen Meldung von insgesamt 6 </w:t>
      </w:r>
      <w:r>
        <w:t>163 Schulen zum genannten Stichtag. Die zugeh</w:t>
      </w:r>
      <w:r w:rsidR="00B5204D">
        <w:t>örige Erhebung dient ausschließ</w:t>
      </w:r>
      <w:r>
        <w:t xml:space="preserve">lich dazu, die Auswirkungen der </w:t>
      </w:r>
      <w:r w:rsidR="003F1661">
        <w:t>Coronapandemie</w:t>
      </w:r>
      <w:r>
        <w:t xml:space="preserve"> auf den täglichen </w:t>
      </w:r>
      <w:r w:rsidR="00B5204D">
        <w:t>Unterrichtsbe-trieb zu erfassen,</w:t>
      </w:r>
      <w:r>
        <w:t xml:space="preserve"> eingehende Plausibilisier</w:t>
      </w:r>
      <w:r w:rsidR="00B5204D">
        <w:t>ungen erfolgen daher –</w:t>
      </w:r>
      <w:r>
        <w:t xml:space="preserve"> anders als be</w:t>
      </w:r>
      <w:r w:rsidR="00B5204D">
        <w:t>i der Amtlichen Schulstatistik –</w:t>
      </w:r>
      <w:r>
        <w:t xml:space="preserve"> nicht. Es wird darauf hingewiesen, dass nichtstaatliche Schulen nicht zu einer Meldung an das Staatsministerium verpflichtet sind.</w:t>
      </w:r>
    </w:p>
    <w:p w:rsidR="004E2F84" w:rsidRDefault="004E2F84" w:rsidP="004E2F84">
      <w:pPr>
        <w:pStyle w:val="LTAntwortRessortText"/>
      </w:pPr>
      <w:r>
        <w:t>Der Ministerrat hat in seiner Sitzung vom 06.07.20</w:t>
      </w:r>
      <w:r w:rsidR="000673D4">
        <w:t>21 beschlossen, dass Grundschul</w:t>
      </w:r>
      <w:r>
        <w:t>kinder sowie die Schülerinnen und Schüler der Grundschulstufen an Förderschulen ab Herbst 2021 auch mittels sog. PCR-Pool-Testungen getestet werden sollen. Ob dabei Spucktests oder andere Verfahren zum Einsatz kommen, ist derzeit noch nicht entschieden.</w:t>
      </w:r>
    </w:p>
    <w:p w:rsidR="003D27C0" w:rsidRDefault="003D27C0" w:rsidP="004E2F84">
      <w:pPr>
        <w:pStyle w:val="LTAntwortRessortText"/>
      </w:pPr>
      <w:r>
        <w:t xml:space="preserve">*) Von einem Abdruck wurde abgesehen. Die Tabelle ist als pdf-Dokument </w:t>
      </w:r>
      <w:hyperlink r:id="rId14" w:history="1">
        <w:r w:rsidRPr="00F26F3D">
          <w:rPr>
            <w:rStyle w:val="LTHyperlinkZchn"/>
            <w:b w:val="0"/>
          </w:rPr>
          <w:t>hier</w:t>
        </w:r>
      </w:hyperlink>
      <w:r>
        <w:t xml:space="preserve"> einsehbar.</w:t>
      </w:r>
    </w:p>
    <w:p w:rsidR="003D27C0" w:rsidRDefault="003D27C0" w:rsidP="00F210D0">
      <w:pPr>
        <w:pStyle w:val="LTAntwortRessortText"/>
      </w:pPr>
      <w:bookmarkStart w:id="62" w:name="Frage_Nr_30_Ende"/>
      <w:bookmarkEnd w:id="62"/>
    </w:p>
    <w:p w:rsidR="004E2F84" w:rsidRDefault="004E2F84" w:rsidP="00F210D0">
      <w:pPr>
        <w:pStyle w:val="LTAntwortRessortText"/>
      </w:pPr>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9686D" w:rsidTr="0059686D">
        <w:tc>
          <w:tcPr>
            <w:tcW w:w="1854" w:type="dxa"/>
          </w:tcPr>
          <w:p w:rsidR="0059686D" w:rsidRDefault="0059686D" w:rsidP="0059686D">
            <w:pPr>
              <w:pStyle w:val="LTAnfrageInitiator"/>
            </w:pPr>
            <w:r>
              <w:lastRenderedPageBreak/>
              <w:t>Abgeordnete</w:t>
            </w:r>
            <w:r>
              <w:rPr>
                <w:b/>
              </w:rPr>
              <w:br/>
              <w:t>Ruth</w:t>
            </w:r>
            <w:r>
              <w:rPr>
                <w:b/>
              </w:rPr>
              <w:br/>
              <w:t>Waldmann</w:t>
            </w:r>
            <w:r>
              <w:rPr>
                <w:b/>
              </w:rPr>
              <w:br/>
            </w:r>
            <w:r>
              <w:t>(SPD)</w:t>
            </w:r>
            <w:bookmarkStart w:id="63" w:name="Frage_Nr_31"/>
            <w:bookmarkEnd w:id="63"/>
          </w:p>
        </w:tc>
        <w:tc>
          <w:tcPr>
            <w:tcW w:w="5762" w:type="dxa"/>
          </w:tcPr>
          <w:p w:rsidR="0059686D" w:rsidRPr="00E85D1C" w:rsidRDefault="0059686D" w:rsidP="00E85D1C">
            <w:pPr>
              <w:pStyle w:val="LTAnfrageText"/>
            </w:pPr>
            <w:r w:rsidRPr="00E85D1C">
              <w:t>Wenn der Bayerische Ministerpräsident via Medien mit einer Landesanweisung droht, um das Raumhygienedefizit in den bayerischen Klassenzimmern zu beheben (Zitat: „Wir haben fast 100 000 Klassenzimmer und Übungsräume, aber die Kommunen haben nur 14 000 Filteranlagen angeschafft oder bestellt. Das reicht nicht.“ (zit. n. Spiegel, Tagesspiegel u. a., 04.07.2021)), frage ich die Staatsregierung, welche Möglichkeiten sie sieht, bis zu Beginn des neuen Schuljahres realistisch für dauerhaften Präsenzunterricht auch in den nach Rechnung des Ministerpräsidenten mit Luftfiltern unversorgten 86 000 Räumen  zu sorgen, warum den Kommunen finanzielle Bundes- und Landesunterstützung für stationäre Luftfilter überhaupt erst ab Mai (Bund) und Juni (Bayern) angeboten worden sind und wie die Staatsregierung die annoncierte Landesanweisung umzusetzen plant?</w:t>
            </w:r>
          </w:p>
        </w:tc>
        <w:tc>
          <w:tcPr>
            <w:tcW w:w="5762" w:type="dxa"/>
          </w:tcPr>
          <w:p w:rsidR="0059686D" w:rsidRDefault="0059686D" w:rsidP="0059686D">
            <w:pPr>
              <w:pStyle w:val="LTAnfrageText"/>
            </w:pPr>
          </w:p>
        </w:tc>
      </w:tr>
    </w:tbl>
    <w:p w:rsidR="004E2F84" w:rsidRDefault="004E2F84" w:rsidP="004B1413">
      <w:pPr>
        <w:pStyle w:val="LTUeberschrAntwortRessort"/>
        <w:spacing w:before="220"/>
      </w:pPr>
      <w:r>
        <w:t>Antwort des Staatsministeriums für Unterricht und Kultus</w:t>
      </w:r>
    </w:p>
    <w:p w:rsidR="004E2F84" w:rsidRDefault="004E2F84" w:rsidP="004E2F84">
      <w:pPr>
        <w:pStyle w:val="LTAntwortRessortText"/>
      </w:pPr>
      <w:r>
        <w:t>Zuständig für den Einbau raumlufttechnischer Anlagen oder die Beschaffung mobiler Luftreinigungsgeräte sind die Schulaufwandsträger. Sie entscheiden, ob und welche Geräte in den Schulen eingesetzt werden. Dabei wu</w:t>
      </w:r>
      <w:r w:rsidR="00F210D0">
        <w:t>rden sie vom Freistaat von Okto</w:t>
      </w:r>
      <w:r>
        <w:t xml:space="preserve">ber 2020 bis April 2021 mit einer Fördersumme von 37 </w:t>
      </w:r>
      <w:r w:rsidR="00B5204D">
        <w:t>Mio.</w:t>
      </w:r>
      <w:r>
        <w:t xml:space="preserve"> Euro unterstützt. Es konnten alle förderfähigen Anträge berücksichtigt u</w:t>
      </w:r>
      <w:r w:rsidR="00F210D0">
        <w:t>nd die Fördermittel nahezu voll</w:t>
      </w:r>
      <w:r>
        <w:t>ständig verausgabt werden. Aus den Förderanträgen der Schulaufwand</w:t>
      </w:r>
      <w:r w:rsidR="000673D4">
        <w:t>s</w:t>
      </w:r>
      <w:r>
        <w:t>träger ergibt sich, dass bisher L</w:t>
      </w:r>
      <w:r w:rsidR="00B5204D">
        <w:t>uftreinigungsanlagen für ca. 14 </w:t>
      </w:r>
      <w:r>
        <w:t>000 Klassenzimmer bestellt oder beschafft wurden. Beschaffungen können aber auch außerhalb und unabhängig von staatlichen Förderprogrammen erfolgen.</w:t>
      </w:r>
    </w:p>
    <w:p w:rsidR="004E2F84" w:rsidRDefault="004E2F84" w:rsidP="004E2F84">
      <w:pPr>
        <w:pStyle w:val="LTAntwortRessortText"/>
      </w:pPr>
      <w:r>
        <w:t>Die Staatsregierung hat am 29.</w:t>
      </w:r>
      <w:r w:rsidR="00B5204D">
        <w:t>06.</w:t>
      </w:r>
      <w:r>
        <w:t>2021 die wei</w:t>
      </w:r>
      <w:r w:rsidR="00F210D0">
        <w:t>tere Unterstützung der Schulauf</w:t>
      </w:r>
      <w:r>
        <w:t>wandsträger bei der Beschaffung mobiler Luftrein</w:t>
      </w:r>
      <w:r w:rsidR="00B5204D">
        <w:t>igungsgeräte im Schuljahr 2021/</w:t>
      </w:r>
      <w:r>
        <w:t>2022 durch eine Neuauflage des Förderprogramms beschlossen. Die Beurteilung des Bedarfs für ein weiteres Förderprogramm hat sich gegenüber der Situation im April 2021 vor allem mit Blick auf die Beurteilung der raschen Ausbreitung der aktuellen Delta-Variante durch Experten verändert. Die E</w:t>
      </w:r>
      <w:r w:rsidR="00F210D0">
        <w:t>ckpunkte werden derzeit erarbei</w:t>
      </w:r>
      <w:r>
        <w:t xml:space="preserve">tet und zeitnah veröffentlicht. Ziel ist es, dass für noch nicht ausgestattete Klassen an den Schulen technisch adäquate Lüftungs- bzw. Luftreinigungsanlagen bzw. </w:t>
      </w:r>
      <w:r w:rsidR="00F210D0">
        <w:t>-</w:t>
      </w:r>
      <w:r>
        <w:t>geräte</w:t>
      </w:r>
      <w:r w:rsidR="00F210D0">
        <w:t xml:space="preserve"> </w:t>
      </w:r>
      <w:r>
        <w:t>durch die zuständigen Träger beschafft werden können. Die Neuauflage des Förderprogramms unterstützt das Ziel einer Sicher</w:t>
      </w:r>
      <w:r w:rsidR="00F210D0">
        <w:t>ung des Präsenzunterrichts. Mög</w:t>
      </w:r>
      <w:r>
        <w:t>liche Auswirkungen auf sonstige Hygiene- und In</w:t>
      </w:r>
      <w:r w:rsidR="00F210D0">
        <w:t>fektionsschutzmaßnahmen sind be</w:t>
      </w:r>
      <w:r>
        <w:t>gleitend zum Förderprogramm (v.</w:t>
      </w:r>
      <w:r w:rsidR="00B5204D">
        <w:t> </w:t>
      </w:r>
      <w:r>
        <w:t>a. mit dem Staatsministerium für Gesundheit und Pflege) abzustimmen. Unterstützung erfolgt zudem durch großzügige Festsetzungen von vorzeitigem Maßnahmenbeginn und Bewilligungszeitraum.</w:t>
      </w:r>
    </w:p>
    <w:p w:rsidR="004E2F84" w:rsidRDefault="004E2F84" w:rsidP="004B1413">
      <w:pPr>
        <w:pStyle w:val="LTAntwortRessortText"/>
      </w:pPr>
      <w:r>
        <w:t>Der Bund fördert bereits seit Oktober 2020 Maßnahmen an bestehenden stationären raumlufttechnischen Anlagen (RLT-Anlagen) i</w:t>
      </w:r>
      <w:r w:rsidR="00F210D0">
        <w:t>n öffentlichen Gebäuden und Ver</w:t>
      </w:r>
      <w:r w:rsidR="00B5204D">
        <w:t>sammlungsstätten –</w:t>
      </w:r>
      <w:r>
        <w:t xml:space="preserve"> in</w:t>
      </w:r>
      <w:r w:rsidR="00B5204D">
        <w:t>k</w:t>
      </w:r>
      <w:r>
        <w:t xml:space="preserve">l. Schulen (Bundesprogramm </w:t>
      </w:r>
      <w:r w:rsidR="003F1661">
        <w:t>„</w:t>
      </w:r>
      <w:r>
        <w:t>Corona-gerechte Um- und Aufrüstung von stati</w:t>
      </w:r>
      <w:r w:rsidR="000673D4">
        <w:t xml:space="preserve">onären raumlufttechnischen </w:t>
      </w:r>
      <w:r>
        <w:t>Anlagen</w:t>
      </w:r>
      <w:r w:rsidR="003F1661">
        <w:t>“</w:t>
      </w:r>
      <w:r>
        <w:t>). Das Programm wurde im Juni 2021 um den Neu-Einbau von stationären RLT-Anlagen in Einrichtungen für Kinder unter 12 Jahren erweitert (</w:t>
      </w:r>
      <w:r w:rsidR="003F1661">
        <w:t>„</w:t>
      </w:r>
      <w:r>
        <w:t>Bundesf</w:t>
      </w:r>
      <w:r w:rsidR="00F210D0">
        <w:t>örderung Corona-gerechte statio</w:t>
      </w:r>
      <w:r>
        <w:t>näre raumlufttechnische Anlagen</w:t>
      </w:r>
      <w:r w:rsidR="003F1661">
        <w:t>“</w:t>
      </w:r>
      <w:r>
        <w:t>). Antragsberechtigt für den Neueinbau sind auch weiterführende Schulen (bzw. deren öffentliche oder private Träger), soweit diese auch Kinder unter 12 Jahren unterrichten. Bundes- und Landesförderung ergänzen sich somit.</w:t>
      </w:r>
      <w:r w:rsidR="004B1413">
        <w:t xml:space="preserve"> </w:t>
      </w:r>
      <w:bookmarkStart w:id="64" w:name="Frage_Nr_31_Ende"/>
      <w:bookmarkEnd w:id="6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9686D" w:rsidTr="0059686D">
        <w:tc>
          <w:tcPr>
            <w:tcW w:w="1854" w:type="dxa"/>
          </w:tcPr>
          <w:p w:rsidR="0059686D" w:rsidRDefault="0059686D" w:rsidP="0059686D">
            <w:pPr>
              <w:pStyle w:val="LTAnfrageInitiator"/>
            </w:pPr>
            <w:r>
              <w:lastRenderedPageBreak/>
              <w:t>Abgeordnete</w:t>
            </w:r>
            <w:r>
              <w:rPr>
                <w:b/>
              </w:rPr>
              <w:br/>
              <w:t>Margit</w:t>
            </w:r>
            <w:r>
              <w:rPr>
                <w:b/>
              </w:rPr>
              <w:br/>
              <w:t>Wild</w:t>
            </w:r>
            <w:r>
              <w:rPr>
                <w:b/>
              </w:rPr>
              <w:br/>
            </w:r>
            <w:r>
              <w:t>(SPD)</w:t>
            </w:r>
            <w:bookmarkStart w:id="65" w:name="Frage_Nr_32"/>
            <w:bookmarkEnd w:id="65"/>
          </w:p>
        </w:tc>
        <w:tc>
          <w:tcPr>
            <w:tcW w:w="5762" w:type="dxa"/>
          </w:tcPr>
          <w:p w:rsidR="0059686D" w:rsidRPr="00E85D1C" w:rsidRDefault="0059686D" w:rsidP="00E85D1C">
            <w:pPr>
              <w:pStyle w:val="LTAnfrageText"/>
            </w:pPr>
            <w:r w:rsidRPr="00E85D1C">
              <w:t>Ich frage die Staatsregierung, wie ist der aktuelle Stand der Personalgewinnung für die von der Staatsregierung umgewandelten drei Lehrerwochenstunden in Kapazitäten für anderes pädagogisches Personal im Ganztagsbereich? </w:t>
            </w:r>
          </w:p>
        </w:tc>
        <w:tc>
          <w:tcPr>
            <w:tcW w:w="5762"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 xml:space="preserve">Der Verwaltungsvollzug zum Abschluss dieser Verträge bzw. die </w:t>
      </w:r>
      <w:r w:rsidR="00F210D0">
        <w:t>Auszahlung entspre</w:t>
      </w:r>
      <w:r>
        <w:t>chender Mittel liegt in der Zuständigkeit der jeweiligen Bezirksregierung.</w:t>
      </w:r>
    </w:p>
    <w:p w:rsidR="004E2F84" w:rsidRDefault="004E2F84" w:rsidP="004B1413">
      <w:pPr>
        <w:pStyle w:val="LTAntwortRessortText"/>
        <w:spacing w:before="0"/>
      </w:pPr>
      <w:r>
        <w:t>Die Übermittlung entsprechender Vertragsunterlagen durch die Kooperationspartner an die Bezirksregierungen erfolgt in der Rege</w:t>
      </w:r>
      <w:r w:rsidR="00B5204D">
        <w:t>l bis zum 30.09. des Jahres, so</w:t>
      </w:r>
      <w:r>
        <w:t>dass erst im Verlauf des Herbst</w:t>
      </w:r>
      <w:r w:rsidR="000673D4">
        <w:t>e</w:t>
      </w:r>
      <w:r>
        <w:t>s auf Ebene der Bezirksregier</w:t>
      </w:r>
      <w:r w:rsidR="00F210D0">
        <w:t>ung ein erster Eindruck vom Per</w:t>
      </w:r>
      <w:r>
        <w:t>sonaleinsatz in den Ganztagsangeboten gewo</w:t>
      </w:r>
      <w:r w:rsidR="00F210D0">
        <w:t>nnen werden kann. Eine Zusammen</w:t>
      </w:r>
      <w:r>
        <w:t>führung dieser Daten erfolgt aufgrund des hohen</w:t>
      </w:r>
      <w:r w:rsidR="00F210D0">
        <w:t xml:space="preserve"> Verwaltungsaufwands bei den Be</w:t>
      </w:r>
      <w:r>
        <w:t>zirksregierungen nicht.</w:t>
      </w:r>
    </w:p>
    <w:p w:rsidR="004E2F84" w:rsidRDefault="004E2F84">
      <w:bookmarkStart w:id="66" w:name="Frage_Nr_32_Ende"/>
      <w:bookmarkEnd w:id="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9686D" w:rsidTr="0059686D">
        <w:tc>
          <w:tcPr>
            <w:tcW w:w="1852" w:type="dxa"/>
          </w:tcPr>
          <w:p w:rsidR="0059686D" w:rsidRDefault="0059686D" w:rsidP="0059686D">
            <w:pPr>
              <w:pStyle w:val="LTAnfrageInitiator"/>
            </w:pPr>
            <w:r>
              <w:lastRenderedPageBreak/>
              <w:t>Abgeordneter</w:t>
            </w:r>
            <w:r>
              <w:rPr>
                <w:b/>
              </w:rPr>
              <w:br/>
              <w:t>Andreas</w:t>
            </w:r>
            <w:r>
              <w:rPr>
                <w:b/>
              </w:rPr>
              <w:br/>
              <w:t>Winhart</w:t>
            </w:r>
            <w:r>
              <w:rPr>
                <w:b/>
              </w:rPr>
              <w:br/>
            </w:r>
            <w:r>
              <w:t>(AfD)</w:t>
            </w:r>
            <w:bookmarkStart w:id="67" w:name="Frage_Nr_33"/>
            <w:bookmarkEnd w:id="67"/>
          </w:p>
        </w:tc>
        <w:tc>
          <w:tcPr>
            <w:tcW w:w="5764" w:type="dxa"/>
          </w:tcPr>
          <w:p w:rsidR="0059686D" w:rsidRPr="00E85D1C" w:rsidRDefault="0059686D" w:rsidP="00E85D1C">
            <w:pPr>
              <w:pStyle w:val="LTAnfrageText"/>
            </w:pPr>
            <w:r w:rsidRPr="00E85D1C">
              <w:t>Ich frage die Staatsregierung, wie viele Corona-Selbsttests kamen seit Beginn der Testpflicht als Voraussetzung für den Schulbesuch in Bayerns Schulen zum Einsatz (bitte Anzahl nach Landkreisen aufschlüsseln), wie viele dieser Corona-Selbsttests wiesen ein positives Ergebnis aus (bitte Anzahl nach Landkreisen aufschlüsseln) und wie hoch waren seither die Kosten für die Corona-Selbsttests an den Schulen in Bayern (bitte Höhe der Kosten nach Landkreis aufschlüsseln)? </w:t>
            </w:r>
          </w:p>
        </w:tc>
        <w:tc>
          <w:tcPr>
            <w:tcW w:w="5764"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Der beigefügten Tabelle</w:t>
      </w:r>
      <w:r w:rsidR="00582928" w:rsidRPr="00582928">
        <w:rPr>
          <w:rStyle w:val="LTHyperlinkZchn"/>
          <w:b w:val="0"/>
        </w:rPr>
        <w:t>*)</w:t>
      </w:r>
      <w:r>
        <w:t xml:space="preserve"> ist die Anzahl der von den Schulen an das Personal sowie an die Schülerinnen u</w:t>
      </w:r>
      <w:r w:rsidR="00B5204D">
        <w:t>nd Schüler im Zeitraum 12.04.2021 bis 05.07.</w:t>
      </w:r>
      <w:r w:rsidR="00F210D0">
        <w:t>2021 verteil</w:t>
      </w:r>
      <w:r>
        <w:t>ten Selbsttests in Aufgliederung nach den 96 Landkreisen und kreisfreien Städten zu entnehmen.</w:t>
      </w:r>
    </w:p>
    <w:p w:rsidR="004E2F84" w:rsidRDefault="004E2F84" w:rsidP="00582928">
      <w:pPr>
        <w:pStyle w:val="LTAntwortRessortText"/>
        <w:spacing w:before="0"/>
      </w:pPr>
      <w:r>
        <w:t>Da ein positiver Selbsttest lediglich ein Hinweis auf eine mögliche Infektion ist und zur Bestätigung ohnehin ein PCR-Test außerhalb der Sc</w:t>
      </w:r>
      <w:r w:rsidR="009B7B8F">
        <w:t>hule erforderlich ist, wird sei</w:t>
      </w:r>
      <w:r>
        <w:t>tens der Schulverwaltung auf eine kontinuierliche s</w:t>
      </w:r>
      <w:r w:rsidR="009B7B8F">
        <w:t>tatistische Erfassung der Ergeb</w:t>
      </w:r>
      <w:r>
        <w:t>nisse der Selbsttests verzichtet, auch um den da</w:t>
      </w:r>
      <w:r w:rsidR="009B7B8F">
        <w:t>mit verbundenen erheblichen Ver</w:t>
      </w:r>
      <w:r>
        <w:t xml:space="preserve">waltungsaufwand für die Schulen zu vermeiden. </w:t>
      </w:r>
      <w:r w:rsidR="009B7B8F">
        <w:t>Dem Staatsministerium liegen je</w:t>
      </w:r>
      <w:r>
        <w:t>doch folgende Ergebnisse aus drei stichtagsbezogenen Erhebungen zu den in der Schule durchgeführten Selbsttests vor:</w:t>
      </w:r>
    </w:p>
    <w:p w:rsidR="004E2F84" w:rsidRDefault="004E2F84" w:rsidP="00582928">
      <w:pPr>
        <w:pStyle w:val="LTAntwortRessortText"/>
        <w:spacing w:before="0"/>
      </w:pPr>
      <w:r>
        <w:t xml:space="preserve">Von den in der Schule durchgeführten Selbsttests zeigten bayernweit am Stichtag Mittwoch, 21.04.2021, insgesamt 163 Tests ein </w:t>
      </w:r>
      <w:r w:rsidR="00B5204D">
        <w:t>positives Ergebnis, während 287 </w:t>
      </w:r>
      <w:r>
        <w:t>360 Schülerinnen und Schüler an diesem Tag mit einem gültigen negativen schulischen Selbsttest-Ergebnis am Unterricht teilnehmen durften. Am Stichtag Freitag, 30.04.2021, zeigten entsprechend insgesamt 95 Selbsttests ei</w:t>
      </w:r>
      <w:r w:rsidR="00B5204D">
        <w:t>n positives Ergebnis, wobei 256 </w:t>
      </w:r>
      <w:r>
        <w:t>490 Schülerinnen und Schüler mit einem g</w:t>
      </w:r>
      <w:r w:rsidR="009B7B8F">
        <w:t>ültigen negativen Selbsttest-Er</w:t>
      </w:r>
      <w:r>
        <w:t>gebnis am Unterricht teilnahmen. Am Stichtag Montag, 28.06.2021, fielen 1</w:t>
      </w:r>
      <w:r w:rsidR="00B5204D">
        <w:t>08 Selbsttests positiv aus, 934 </w:t>
      </w:r>
      <w:r>
        <w:t>948 Schülerinnen und S</w:t>
      </w:r>
      <w:r w:rsidR="009B7B8F">
        <w:t>chüler durften mit ihrem negati</w:t>
      </w:r>
      <w:r>
        <w:t>ven Selbsttest-Ergebnis am Unterricht teilnehmen.</w:t>
      </w:r>
    </w:p>
    <w:p w:rsidR="004E2F84" w:rsidRDefault="004E2F84" w:rsidP="00582928">
      <w:pPr>
        <w:pStyle w:val="LTAntwortRessortText"/>
        <w:spacing w:before="0"/>
      </w:pPr>
      <w:r>
        <w:t>Auf eine Differenzierung nach Landkreisen bzw. kreisfreien Städten wird aus daten-schutzrechtlichen Gründen verzichtet, da Rücksch</w:t>
      </w:r>
      <w:r w:rsidR="009B7B8F">
        <w:t>lüsse auf einzelne Personen auf</w:t>
      </w:r>
      <w:r>
        <w:t>grund äußerst geringer Fallzahlen in der überwiegenden Zahl der Kreise nicht g</w:t>
      </w:r>
      <w:r w:rsidR="009B7B8F">
        <w:t>änz</w:t>
      </w:r>
      <w:r>
        <w:t>lich ausgeschlossen werden können.</w:t>
      </w:r>
    </w:p>
    <w:p w:rsidR="004E2F84" w:rsidRDefault="004E2F84" w:rsidP="00582928">
      <w:pPr>
        <w:pStyle w:val="LTAntwortRessortText"/>
        <w:spacing w:before="0"/>
      </w:pPr>
      <w:r>
        <w:t>Das Staatsministerium für Gesundheit und Pflege hat insgesamt 88 Mio. Laien-Selbsttests für die Verteilung an Schulen, Kinderbetreuungseinrichtungen und Beschäftigte des Freistaat Bayerns für rund 416 Mio. Euro beschafft. Eine genaue Aufschlüsselung nach den jeweiligen Landkreisen kann nicht erfolgen.</w:t>
      </w:r>
    </w:p>
    <w:p w:rsidR="004E2F84" w:rsidRDefault="00582928" w:rsidP="004E2F84">
      <w:pPr>
        <w:pStyle w:val="LTAntwortRessortText"/>
      </w:pPr>
      <w:r>
        <w:t xml:space="preserve">*) Von einem Abdruck wurde abgesehen. Die Tabelle ist als pdf-Dokument </w:t>
      </w:r>
      <w:hyperlink r:id="rId15" w:history="1">
        <w:r w:rsidRPr="0077325F">
          <w:rPr>
            <w:rStyle w:val="LTHyperlinkZchn"/>
            <w:b w:val="0"/>
          </w:rPr>
          <w:t>hier</w:t>
        </w:r>
      </w:hyperlink>
      <w:r>
        <w:t xml:space="preserve"> einsehbar.</w:t>
      </w:r>
    </w:p>
    <w:p w:rsidR="004E2F84" w:rsidRDefault="004E2F84">
      <w:bookmarkStart w:id="68" w:name="Frage_Nr_33_Ende"/>
      <w:bookmarkEnd w:id="6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Abgeordneter</w:t>
            </w:r>
            <w:r>
              <w:rPr>
                <w:b/>
              </w:rPr>
              <w:br/>
              <w:t>Christian</w:t>
            </w:r>
            <w:r>
              <w:rPr>
                <w:b/>
              </w:rPr>
              <w:br/>
              <w:t>Zwanziger</w:t>
            </w:r>
            <w:r>
              <w:rPr>
                <w:b/>
              </w:rPr>
              <w:br/>
            </w:r>
            <w:r>
              <w:t>(BÜNDNIS 90/DIE GRÜNEN)</w:t>
            </w:r>
            <w:bookmarkStart w:id="69" w:name="Frage_Nr_34"/>
            <w:bookmarkEnd w:id="69"/>
          </w:p>
        </w:tc>
        <w:tc>
          <w:tcPr>
            <w:tcW w:w="5733" w:type="dxa"/>
          </w:tcPr>
          <w:p w:rsidR="0059686D" w:rsidRPr="00E85D1C" w:rsidRDefault="0059686D" w:rsidP="00E85D1C">
            <w:pPr>
              <w:pStyle w:val="LTAnfrageText"/>
            </w:pPr>
            <w:r w:rsidRPr="00E85D1C">
              <w:t>Ich frage die Staatsregierung, durch wen sollen die Stellen für Lehrkräfte (200 Vollzeitäquivalente) in den Vorkursen Deutsch adäquat ersetzt werden, gibt es bereits entsprechendes Personal (Bewerberinnen und Bewerber) und welche Qualifikationsanforderungen gelten für die Übernahme der Vorkurse Deutsch?</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Unterricht und Kultus</w:t>
      </w:r>
    </w:p>
    <w:p w:rsidR="004E2F84" w:rsidRDefault="004E2F84" w:rsidP="004E2F84">
      <w:pPr>
        <w:pStyle w:val="LTAntwortRessortText"/>
      </w:pPr>
      <w:r>
        <w:t>Infrage kommen hierbei insbesondere Personen mit einer Qualifikation im Bereich Deutsch als Fremdsprache, aber auch Personen mit einer sonstigen einschlägigen Ausbildung mit sprachlichem bzw. pädagogischem Schwerpunkt. Nicht zuletzt ist es in diesem Bereich grundsätzlich auch möglich, Erzie</w:t>
      </w:r>
      <w:r w:rsidR="00EA362C">
        <w:t>herinnen bzw. Erzieher einzuset</w:t>
      </w:r>
      <w:r>
        <w:t>zen, die in Kooperation mit den Grundschullehrkräft</w:t>
      </w:r>
      <w:r w:rsidR="00EA362C">
        <w:t>en in den Kindertageseinrichtun</w:t>
      </w:r>
      <w:r>
        <w:t>gen bereits anteilig die Vorkurse leiten.</w:t>
      </w:r>
    </w:p>
    <w:p w:rsidR="004E2F84" w:rsidRDefault="004E2F84" w:rsidP="003C653A">
      <w:pPr>
        <w:pStyle w:val="LTAntwortRessortText"/>
        <w:spacing w:before="0"/>
      </w:pPr>
      <w:r>
        <w:t>Die endgültige Auswahl des infrage kommenden Personals triff</w:t>
      </w:r>
      <w:r w:rsidR="00EA362C">
        <w:t>t die Regierung in ei</w:t>
      </w:r>
      <w:r>
        <w:t>gener Zuständigkeit. Einzelne Rückmeldungen ergaben, dass Bewerberinnen und Bewerber ihr Interesse an einer Tätigkeit im Rahme</w:t>
      </w:r>
      <w:r w:rsidR="00EA362C">
        <w:t>n des Vorkurses bereits signali</w:t>
      </w:r>
      <w:r>
        <w:t>siert haben.</w:t>
      </w:r>
    </w:p>
    <w:p w:rsidR="004E2F84" w:rsidRDefault="004E2F84" w:rsidP="004E2F84">
      <w:pPr>
        <w:pStyle w:val="LTAntwortRessortText"/>
      </w:pPr>
      <w:r>
        <w:t xml:space="preserve">Um die im </w:t>
      </w:r>
      <w:r w:rsidR="003F1661">
        <w:t>„</w:t>
      </w:r>
      <w:r>
        <w:t>Vorkurs Deutsch 240</w:t>
      </w:r>
      <w:r w:rsidR="003F1661">
        <w:t>“</w:t>
      </w:r>
      <w:r>
        <w:t xml:space="preserve"> eingesetzten Personen in ihre verantwortungsvolle Aufgabe einzuführen, befindet sich ein entsprechendes Fortbildungsangebot seitens des Staatsministeriums derzeit in Vorbereitung.</w:t>
      </w:r>
    </w:p>
    <w:p w:rsidR="004E2F84" w:rsidRDefault="004E2F84">
      <w:bookmarkStart w:id="70" w:name="Frage_Nr_34_Ende"/>
      <w:bookmarkEnd w:id="70"/>
      <w:r>
        <w:br w:type="page"/>
      </w:r>
    </w:p>
    <w:p w:rsidR="004E2F84" w:rsidRDefault="004E2F84" w:rsidP="004E2F84">
      <w:pPr>
        <w:pStyle w:val="LTUeberschrRessort"/>
      </w:pPr>
      <w:r>
        <w:lastRenderedPageBreak/>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9686D" w:rsidTr="0059686D">
        <w:tc>
          <w:tcPr>
            <w:tcW w:w="1852" w:type="dxa"/>
          </w:tcPr>
          <w:p w:rsidR="0059686D" w:rsidRDefault="0059686D" w:rsidP="0059686D">
            <w:pPr>
              <w:pStyle w:val="LTAnfrageInitiator"/>
            </w:pPr>
            <w:r>
              <w:t>Abgeordneter</w:t>
            </w:r>
            <w:r>
              <w:rPr>
                <w:b/>
              </w:rPr>
              <w:br/>
              <w:t>Dr. Wolfgang</w:t>
            </w:r>
            <w:r>
              <w:rPr>
                <w:b/>
              </w:rPr>
              <w:br/>
              <w:t>Heubisch</w:t>
            </w:r>
            <w:r>
              <w:rPr>
                <w:b/>
              </w:rPr>
              <w:br/>
            </w:r>
            <w:r>
              <w:t>(FDP)</w:t>
            </w:r>
            <w:bookmarkStart w:id="71" w:name="Frage_Nr_35"/>
            <w:bookmarkEnd w:id="71"/>
          </w:p>
        </w:tc>
        <w:tc>
          <w:tcPr>
            <w:tcW w:w="5764" w:type="dxa"/>
          </w:tcPr>
          <w:p w:rsidR="0059686D" w:rsidRPr="00E85D1C" w:rsidRDefault="0059686D" w:rsidP="00E85D1C">
            <w:pPr>
              <w:pStyle w:val="LTAnfrageText"/>
            </w:pPr>
            <w:r w:rsidRPr="00E85D1C">
              <w:t>Nachdem Staatsminister für Wissenschaft und Kunst Bernd Sibler am 30.06.2021 auf seiner Homepage folgendes ankündigte: „Zusammen mit den Hochschulen und Kommunen wollen wir Impfangebote so koordinieren, dass die vorhandenen Kapazitäten und Kontingente umfassend ausgeschöpft werden können“, frage ich die Staatsregierung, welche genauen Konzepte hier bereits vorliegen (bitte eine detaillierte Beschreibung der geplanten Vorgehensweise, z. B. wer für die Besorgung des Impfstoffs zuständig ist, welche Aufgaben nun auf Kommunen und welche auf Hochschulen zukommen, ob die Studierenden sich an der Hochschule oder an ihrem Erstwohnsitz impfen lassen müssen etc.), ob bis zum Beginn des Wintersemesters geplant ist, dass die Studierenden den vollen Impfschutz besitzen (d. h. Erst- und Zweitimpfung) und inwieweit es für realistisch eingeschätzt wird, dass mit Hilfe der Impfung die Abstandsregelungen ähnlich wie in der Schule aufgehoben werden können, da bei einer Einhaltung eines Abstandes von 1,5 m kaum ausreichend Räumlichkeiten an den bayerischen Universitäten und Hochschulen zur Verfügung stehen, um den Großteil der Vorlesungen und Kurse in Präsenz abhalten zu können?</w:t>
            </w:r>
          </w:p>
        </w:tc>
        <w:tc>
          <w:tcPr>
            <w:tcW w:w="5764" w:type="dxa"/>
          </w:tcPr>
          <w:p w:rsidR="0059686D" w:rsidRDefault="0059686D" w:rsidP="0059686D">
            <w:pPr>
              <w:pStyle w:val="LTAnfrageText"/>
            </w:pPr>
          </w:p>
        </w:tc>
      </w:tr>
    </w:tbl>
    <w:p w:rsidR="004E2F84" w:rsidRDefault="004E2F84" w:rsidP="000F150F">
      <w:pPr>
        <w:pStyle w:val="LTUeberschrAntwortRessort"/>
        <w:spacing w:before="240"/>
      </w:pPr>
      <w:r>
        <w:t>Antwort des Staatsministeriums für Wissenschaft und Kunst</w:t>
      </w:r>
    </w:p>
    <w:p w:rsidR="004E2F84" w:rsidRDefault="004E2F84" w:rsidP="004E2F84">
      <w:pPr>
        <w:pStyle w:val="LTAntwortRessortText"/>
      </w:pPr>
      <w:r>
        <w:t>Auf der Grundlage des Ministerratsbeschlusses vom 29.06.2021 wird gegenwärtig ein Konzept zwischen den Ressorts abgestimmt. Wesentlicher Baustein ist ein gut zu erreichendes, niederschwelliges Angebot für die g</w:t>
      </w:r>
      <w:r w:rsidR="000F150F">
        <w:t>ut 400 </w:t>
      </w:r>
      <w:r w:rsidR="00EA362C">
        <w:t>000 Studentinnen und Stu</w:t>
      </w:r>
      <w:r>
        <w:t>denten in Bayern. Schon jetzt können Impfwillige sowohl an ihrem Erstwohnsitz als auch am Zweitwohnsitz (der oft am Studienort lieg</w:t>
      </w:r>
      <w:r w:rsidR="00EA362C">
        <w:t>t) eine Impfung in Anspruch neh</w:t>
      </w:r>
      <w:r>
        <w:t>men. Geplant ist nun, die Studentinnen und Studenten gezielt anzusprechen, wobei den Kommunen mit den von ihnen getragenen Impfzentren und den Hochschulen jeweils eine tragende Rolle zukommt.</w:t>
      </w:r>
    </w:p>
    <w:p w:rsidR="004E2F84" w:rsidRDefault="004E2F84" w:rsidP="004E2F84">
      <w:pPr>
        <w:pStyle w:val="LTAntwortRessortText"/>
      </w:pPr>
      <w:r>
        <w:t>Es e</w:t>
      </w:r>
      <w:r w:rsidR="000F150F">
        <w:t xml:space="preserve">ntspricht der Absicht von </w:t>
      </w:r>
      <w:r>
        <w:t xml:space="preserve">Staatsminister </w:t>
      </w:r>
      <w:r w:rsidR="00904304">
        <w:t>für Wissenschaft und Kunst</w:t>
      </w:r>
      <w:r w:rsidR="000F150F">
        <w:t xml:space="preserve"> </w:t>
      </w:r>
      <w:r w:rsidR="00EA362C">
        <w:t xml:space="preserve">Bernd </w:t>
      </w:r>
      <w:r>
        <w:t>Sibler, dass bis zum Beginn der Vorlesungszeit im Wintersemester (an den Ho</w:t>
      </w:r>
      <w:r w:rsidR="00EA362C">
        <w:t>chschulen für angewandte Wissen</w:t>
      </w:r>
      <w:r>
        <w:t>schaften: 04.10.2021, an den Universitäten: 16.10.2021) allen Beteiligten, die dies wünschen, die Möglichkeit zu einem vollen Impfschu</w:t>
      </w:r>
      <w:r w:rsidR="00EA362C">
        <w:t>tz offensteht. Spezifische Ange</w:t>
      </w:r>
      <w:r>
        <w:t>bote für die Studentinnen und Studenten sollen binnen weniger Wochen die für alle Bürgerinnen und Bürger bestehenden Möglichkeiten sinnvoll ergänzen.</w:t>
      </w:r>
    </w:p>
    <w:p w:rsidR="004E2F84" w:rsidRDefault="004E2F84" w:rsidP="004E2F84">
      <w:pPr>
        <w:pStyle w:val="LTAntwortRessortText"/>
      </w:pPr>
      <w:r>
        <w:t>Ob und ggf. in we</w:t>
      </w:r>
      <w:r w:rsidR="000F150F">
        <w:t>lchem Ausmaß im Wintersemester –</w:t>
      </w:r>
      <w:r>
        <w:t xml:space="preserve"> auch </w:t>
      </w:r>
      <w:r w:rsidR="000F150F">
        <w:t>mithilfe des Impffort-schritts –</w:t>
      </w:r>
      <w:r>
        <w:t xml:space="preserve"> von den bisherigen Abstandsregeln abge</w:t>
      </w:r>
      <w:r w:rsidR="00EA362C">
        <w:t>rückt werden kann, hängt wesent</w:t>
      </w:r>
      <w:r>
        <w:t>lich von der Entwicklung des Infektionsgeschehens ab. Ergänzend kommt hier neben der Impfung dem konsequenten Testen weiterhin große Bedeutung zu, insbesondere für diejenigen Studentinnen und Studenten, die sich nicht impfen lassen können oder wollen.</w:t>
      </w:r>
    </w:p>
    <w:p w:rsidR="004E2F84" w:rsidRDefault="004E2F84" w:rsidP="003C653A">
      <w:pPr>
        <w:pStyle w:val="LTAntwortRessortText"/>
        <w:spacing w:before="0"/>
      </w:pPr>
      <w:r>
        <w:t>Mit Blick auf das nach wie vor dynamische und</w:t>
      </w:r>
      <w:r w:rsidR="00EA362C">
        <w:t xml:space="preserve"> unvorhersehbare pandemische Ge</w:t>
      </w:r>
      <w:r>
        <w:t>schehen stehen die Möglichkeiten der digitalen Lehre weiterhin besonders im Fokus</w:t>
      </w:r>
      <w:r w:rsidR="000F150F">
        <w:t>,</w:t>
      </w:r>
      <w:r>
        <w:t xml:space="preserve"> hier liegt aber auch die Chance, im Verbund mit de</w:t>
      </w:r>
      <w:r w:rsidR="00904304">
        <w:t>r gezielten Planung von Präsenz</w:t>
      </w:r>
      <w:r>
        <w:t>veranstaltungen, die dem persönlichen Austausch dienen, Potenziale der Lehre der Zukunft auszuloten. Das St</w:t>
      </w:r>
      <w:r w:rsidR="00904304">
        <w:t>aatsministerium für Wissenschaft und Kunst s</w:t>
      </w:r>
      <w:r>
        <w:t>teht hierzu in laufendem und engem Austausch mit den Hochschulen.</w:t>
      </w:r>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w:t>
            </w:r>
            <w:r>
              <w:rPr>
                <w:b/>
              </w:rPr>
              <w:br/>
              <w:t>Claudia</w:t>
            </w:r>
            <w:r>
              <w:rPr>
                <w:b/>
              </w:rPr>
              <w:br/>
              <w:t>Köhler</w:t>
            </w:r>
            <w:r>
              <w:rPr>
                <w:b/>
              </w:rPr>
              <w:br/>
            </w:r>
            <w:r>
              <w:t>(BÜNDNIS 90/DIE GRÜNEN)</w:t>
            </w:r>
            <w:bookmarkStart w:id="73" w:name="Frage_Nr_36"/>
            <w:bookmarkEnd w:id="73"/>
          </w:p>
        </w:tc>
        <w:tc>
          <w:tcPr>
            <w:tcW w:w="5733" w:type="dxa"/>
          </w:tcPr>
          <w:p w:rsidR="0059686D" w:rsidRPr="00E85D1C" w:rsidRDefault="0059686D" w:rsidP="00E85D1C">
            <w:pPr>
              <w:pStyle w:val="LTAnfrageText"/>
            </w:pPr>
            <w:r w:rsidRPr="00E85D1C">
              <w:t xml:space="preserve">Ich frage die Staatsregierung, wurde seitens des Freistaates eine finanzielle Zusage für den Fall der Insolvenz der </w:t>
            </w:r>
            <w:r w:rsidR="00904304">
              <w:t xml:space="preserve">Künstlersäulenhalle </w:t>
            </w:r>
            <w:r w:rsidRPr="00E85D1C">
              <w:t>STOA169 gegeben, ist die Kostenübernahme in irgendeiner Form begrenzt und wenn ja, in welcher Höhe? </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Wissenschaft und Kunst</w:t>
      </w:r>
    </w:p>
    <w:p w:rsidR="004E2F84" w:rsidRDefault="004E2F84" w:rsidP="004E2F84">
      <w:pPr>
        <w:pStyle w:val="LTAntwortRessortText"/>
      </w:pPr>
      <w:r>
        <w:t>Das St</w:t>
      </w:r>
      <w:r w:rsidR="000F150F">
        <w:t>aatsministerium für Wissenschaft und Kunst (StMWK)</w:t>
      </w:r>
      <w:r>
        <w:t xml:space="preserve"> fördert kulturelle Veranstaltungen und </w:t>
      </w:r>
      <w:r w:rsidR="00EA362C">
        <w:t>Projekte. Die finanzielle Unter</w:t>
      </w:r>
      <w:r>
        <w:t>stützung von Projektträgern im Falle einer Insol</w:t>
      </w:r>
      <w:r w:rsidR="00EA362C">
        <w:t>venz gehört nicht zum Zuständig</w:t>
      </w:r>
      <w:r>
        <w:t xml:space="preserve">keitsbereich des StMWK. Dem Träger der Künstlersäulenhalle </w:t>
      </w:r>
      <w:r w:rsidR="003F1661">
        <w:t>„</w:t>
      </w:r>
      <w:r>
        <w:t>STOA 169</w:t>
      </w:r>
      <w:r w:rsidR="003F1661">
        <w:t>“</w:t>
      </w:r>
      <w:r w:rsidR="000F150F">
        <w:t xml:space="preserve"> – der STOA 169 Stiftung –</w:t>
      </w:r>
      <w:r>
        <w:t xml:space="preserve"> wurde daher zu keiner Zeit finanzielle Unterstützung im Falle einer Insolvenz zugesagt oder gewährt.</w:t>
      </w:r>
    </w:p>
    <w:p w:rsidR="004E2F84" w:rsidRDefault="004E2F84">
      <w:bookmarkStart w:id="74" w:name="Frage_Nr_36_Ende"/>
      <w:bookmarkEnd w:id="7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686D" w:rsidTr="0059686D">
        <w:tc>
          <w:tcPr>
            <w:tcW w:w="1883" w:type="dxa"/>
          </w:tcPr>
          <w:p w:rsidR="0059686D" w:rsidRDefault="0059686D" w:rsidP="0059686D">
            <w:pPr>
              <w:pStyle w:val="LTAnfrageInitiator"/>
            </w:pPr>
            <w:r>
              <w:lastRenderedPageBreak/>
              <w:t>Abgeordnete</w:t>
            </w:r>
            <w:r>
              <w:rPr>
                <w:b/>
              </w:rPr>
              <w:br/>
              <w:t>Dr. Sabine</w:t>
            </w:r>
            <w:r>
              <w:rPr>
                <w:b/>
              </w:rPr>
              <w:br/>
              <w:t>Weigand</w:t>
            </w:r>
            <w:r>
              <w:rPr>
                <w:b/>
              </w:rPr>
              <w:br/>
            </w:r>
            <w:r>
              <w:t>(BÜNDNIS 90/DIE GRÜNEN)</w:t>
            </w:r>
            <w:bookmarkStart w:id="75" w:name="Frage_Nr_37"/>
            <w:bookmarkEnd w:id="75"/>
          </w:p>
        </w:tc>
        <w:tc>
          <w:tcPr>
            <w:tcW w:w="5733" w:type="dxa"/>
          </w:tcPr>
          <w:p w:rsidR="0059686D" w:rsidRPr="00E85D1C" w:rsidRDefault="0059686D" w:rsidP="00E85D1C">
            <w:pPr>
              <w:pStyle w:val="LTAnfrageText"/>
            </w:pPr>
            <w:r w:rsidRPr="00E85D1C">
              <w:t>Ich frage die Staatsregierung, aus welchen Gründen wurde das Referat für jüdische Sammlungen bei der Landesstelle für die nichtstaatlichen Museen in Bayern aufgelöst, wie wird das Sachgebiet momentan betreut und wie beurteilt sie dieses Vorgehen vor dem Hintergrund des wiederaufflammenden Antisemitismus? </w:t>
            </w:r>
          </w:p>
        </w:tc>
        <w:tc>
          <w:tcPr>
            <w:tcW w:w="5733" w:type="dxa"/>
          </w:tcPr>
          <w:p w:rsidR="0059686D" w:rsidRDefault="0059686D" w:rsidP="0059686D">
            <w:pPr>
              <w:pStyle w:val="LTAnfrageText"/>
            </w:pPr>
          </w:p>
        </w:tc>
      </w:tr>
    </w:tbl>
    <w:p w:rsidR="004E2F84" w:rsidRDefault="004E2F84" w:rsidP="004E2F84">
      <w:pPr>
        <w:pStyle w:val="LTUeberschrAntwortRessort"/>
      </w:pPr>
      <w:r>
        <w:t>Antwort des Staatsministeriums für Wissenschaft und Kunst</w:t>
      </w:r>
    </w:p>
    <w:p w:rsidR="004E2F84" w:rsidRDefault="004E2F84" w:rsidP="004E2F84">
      <w:pPr>
        <w:pStyle w:val="LTAntwortRessortText"/>
      </w:pPr>
      <w:r>
        <w:t>Die Landesstelle für die nichtstaatlichen Museen in Bayern kommt als Service-Einrichtung des Freistaat</w:t>
      </w:r>
      <w:r w:rsidR="000F150F">
        <w:t>e</w:t>
      </w:r>
      <w:r>
        <w:t>s Bayern unvermindert ihrer Aufgabe der Betreuung und Beratung der für den Freistaat sehr wichtigen und bedeutenden Jüdischen Museen und Sammlungen nach, auch wenn Umstrukturierungen innerhalb der Landesstelle aufgrund geänderter Bedürfnisse in der moderne</w:t>
      </w:r>
      <w:r w:rsidR="00EA362C">
        <w:t>n Museumslandschaft, insbesonde</w:t>
      </w:r>
      <w:r>
        <w:t>re zu Themenfeldern wie Digitalisierung und Inklusio</w:t>
      </w:r>
      <w:r w:rsidR="00EA362C">
        <w:t>n, mit der Auflösung des Fachre</w:t>
      </w:r>
      <w:r>
        <w:t>ferats Jüdische Museen und Sammlungen zum 01.11.2019 verbunden waren. So haben seither die für kunst- und kulturhistorische Mus</w:t>
      </w:r>
      <w:r w:rsidR="00EA362C">
        <w:t>een zuständigen Gebietsrefe</w:t>
      </w:r>
      <w:r>
        <w:t>renten der Landesstelle die Betreuung der Jüdischen Museen in Bayern, bei der der Schwerpunkt des Beratungsbedarfs bei der allgemeinen Museumsberatung in allen Museumsfachfragen sowie der projektbezogenen Förderung liegt, übernommen. Bei den bereits zuvor bezüglich allgemeiner Museums</w:t>
      </w:r>
      <w:r w:rsidR="00EA362C">
        <w:t>fragen von den jeweils zuständi</w:t>
      </w:r>
      <w:r>
        <w:t>gen Gebietsreferenten bzw. anderen Fachreferenten der Landesstelle betreuten sonstigen Museen mit einer umfangreicheren Abtei</w:t>
      </w:r>
      <w:r w:rsidR="00EA362C">
        <w:t>lung zu jüdischer Kultur und Ge</w:t>
      </w:r>
      <w:r>
        <w:t>schichte in ihrer Dauerausstellung kann zudem fallweise eine externe Beratung zu jüdischen Einzelthemen im Rahmen der Projektförd</w:t>
      </w:r>
      <w:r w:rsidR="00EA362C">
        <w:t>erung durch die Landesstelle ge</w:t>
      </w:r>
      <w:r>
        <w:t>fördert werden.</w:t>
      </w:r>
    </w:p>
    <w:p w:rsidR="004E2F84" w:rsidRDefault="004E2F84" w:rsidP="004E2F84">
      <w:pPr>
        <w:pStyle w:val="LTAntwortRessortText"/>
      </w:pPr>
      <w:r>
        <w:t>Im K</w:t>
      </w:r>
      <w:r w:rsidR="000F150F">
        <w:t>ontext des Jubiläumsjahrs 2021 –</w:t>
      </w:r>
      <w:r>
        <w:t xml:space="preserve"> 1</w:t>
      </w:r>
      <w:r w:rsidR="000F150F">
        <w:t> </w:t>
      </w:r>
      <w:r>
        <w:t>700 Jahre jüdisches Leben in Deutschland werden der Landesstelle im Haushaltsjahr 2021 zudem zusätzliche Mittel für eine befristete Besetzung der Fachstelle zur Verfügung gestellt, sodass die Vermittlung</w:t>
      </w:r>
      <w:r w:rsidR="00EA362C">
        <w:t xml:space="preserve"> </w:t>
      </w:r>
      <w:r>
        <w:t>und Präsentation jüdischer Geschichte in Bayern gerade in der heutigen Zeit auch von dieser Seite zusätzlich unterstützt werden wird.</w:t>
      </w:r>
    </w:p>
    <w:p w:rsidR="004E2F84" w:rsidRDefault="004E2F84">
      <w:bookmarkStart w:id="76" w:name="Frage_Nr_37_Ende"/>
      <w:bookmarkEnd w:id="76"/>
      <w:r>
        <w:br w:type="page"/>
      </w:r>
    </w:p>
    <w:p w:rsidR="004E2F84" w:rsidRDefault="004E2F84" w:rsidP="004E2F84">
      <w:pPr>
        <w:pStyle w:val="LTUeberschrRessort"/>
      </w:pPr>
      <w:r>
        <w:lastRenderedPageBreak/>
        <w:t>Geschäftsbereich des Staatsministeriums der Finanzen und für Heimat</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59686D" w:rsidTr="0059686D">
        <w:tc>
          <w:tcPr>
            <w:tcW w:w="1875" w:type="dxa"/>
          </w:tcPr>
          <w:p w:rsidR="0059686D" w:rsidRDefault="0059686D" w:rsidP="0059686D">
            <w:pPr>
              <w:pStyle w:val="LTAnfrageInitiator"/>
            </w:pPr>
            <w:r>
              <w:t>Abgeordnete</w:t>
            </w:r>
            <w:r>
              <w:rPr>
                <w:b/>
              </w:rPr>
              <w:br/>
              <w:t>Alexandra</w:t>
            </w:r>
            <w:r>
              <w:rPr>
                <w:b/>
              </w:rPr>
              <w:br/>
              <w:t>Hiersemann</w:t>
            </w:r>
            <w:r>
              <w:rPr>
                <w:b/>
              </w:rPr>
              <w:br/>
            </w:r>
            <w:r>
              <w:t>(SPD)</w:t>
            </w:r>
            <w:bookmarkStart w:id="77" w:name="Frage_Nr_38"/>
            <w:bookmarkEnd w:id="77"/>
          </w:p>
        </w:tc>
        <w:tc>
          <w:tcPr>
            <w:tcW w:w="5741" w:type="dxa"/>
          </w:tcPr>
          <w:p w:rsidR="0059686D" w:rsidRPr="00E85D1C" w:rsidRDefault="0059686D" w:rsidP="00904304">
            <w:pPr>
              <w:pStyle w:val="LTAnfrageText"/>
            </w:pPr>
            <w:r w:rsidRPr="00E85D1C">
              <w:t>Ich frage die Staatsregierung, da es im öffentlichen Dienst in Bayern im dienstliche</w:t>
            </w:r>
            <w:r w:rsidR="00904304">
              <w:t>n</w:t>
            </w:r>
            <w:r w:rsidRPr="00E85D1C">
              <w:t xml:space="preserve"> Zusammenhang eine nicht unerhebliche Anzahl von Corona-Inf</w:t>
            </w:r>
            <w:r w:rsidR="00904304">
              <w:t>ektionen gibt – allein bei der B</w:t>
            </w:r>
            <w:r w:rsidRPr="00E85D1C">
              <w:t>ayerischen Polizei waren bzw. sind es rund 2 000 Fälle – und vor dem Hintergrund, dass bei möglichen Spätfolgen einer Corona-Infektion für versorgungsrechtliche Ansprüche eine Anerkennung als Dienstunfall entscheidend ist und angesichts der Situation, dass die rund 80 Anträge von Polizistinnen und Polizisten auf Anerkennung als Dienstunfall allesamt seitens des Landesamts für Finanzen abgelehnt wurden, was hat das Staatsministerium des Innern, für Sport und Integration für eine bessere Anerkennung einer Corona-Infektion als Dienstunfall im Sinne der betroffenen Beamtinnen und Beamten geg</w:t>
            </w:r>
            <w:r w:rsidR="00904304">
              <w:t>enüber dem Staatsministerium der</w:t>
            </w:r>
            <w:r w:rsidRPr="00E85D1C">
              <w:t xml:space="preserve"> Finanzen und für Heimat bislang ergriffen, welche konkreten Regelungen durch das Landesamt für Finanzen wurden mittlerweile getroffen und sind ggf. weitere Verbesserungen bei der Anerkennung einer Corona-Infektion als Dienstunfall im Sinne der betroffenen Beamtinnen und Beamten geplant? </w:t>
            </w:r>
          </w:p>
        </w:tc>
        <w:tc>
          <w:tcPr>
            <w:tcW w:w="5741" w:type="dxa"/>
          </w:tcPr>
          <w:p w:rsidR="0059686D" w:rsidRDefault="0059686D" w:rsidP="0059686D">
            <w:pPr>
              <w:pStyle w:val="LTAnfrageText"/>
            </w:pPr>
          </w:p>
        </w:tc>
      </w:tr>
    </w:tbl>
    <w:p w:rsidR="004E2F84" w:rsidRDefault="004E2F84" w:rsidP="004E2F84">
      <w:pPr>
        <w:pStyle w:val="LTUeberschrAntwortRessort"/>
      </w:pPr>
      <w:r>
        <w:t>Antwort des Staatsministeriums der Finanzen und für Heimat</w:t>
      </w:r>
    </w:p>
    <w:p w:rsidR="004E2F84" w:rsidRDefault="004E2F84" w:rsidP="004E2F84">
      <w:pPr>
        <w:pStyle w:val="LTAntwortRessortText"/>
      </w:pPr>
      <w:r>
        <w:t>Die in der Frage aufgestellte Behauptung, es habe bei der Bayerischen Polizei bisher rund 2</w:t>
      </w:r>
      <w:r w:rsidR="000F150F">
        <w:t> </w:t>
      </w:r>
      <w:r>
        <w:t>000 Infektionsfälle mit dienstlichem Zusamm</w:t>
      </w:r>
      <w:r w:rsidR="00EA362C">
        <w:t>enhang gegeben, kann nicht nach</w:t>
      </w:r>
      <w:r>
        <w:t>vollzogen werden, da Infektionen auch außerhalb des Dienstes eintreten können.</w:t>
      </w:r>
    </w:p>
    <w:p w:rsidR="004E2F84" w:rsidRDefault="004E2F84" w:rsidP="004E2F84">
      <w:pPr>
        <w:pStyle w:val="LTAntwortRessortText"/>
      </w:pPr>
      <w:r>
        <w:t>Die Ressorts wurden bereits durch das Staatsministerium der Finanzen und für Heimat mit Schreiben vom 6. April 2020 über die dienstunfall</w:t>
      </w:r>
      <w:r w:rsidR="00EA362C">
        <w:t>rechtlichen Aspekte einer Infek</w:t>
      </w:r>
      <w:r>
        <w:t xml:space="preserve">tion mit dem Coronavirus </w:t>
      </w:r>
      <w:r w:rsidR="003F1661">
        <w:t>SARS</w:t>
      </w:r>
      <w:r>
        <w:t xml:space="preserve">-CoV-2 bzw. einer Erkrankung an </w:t>
      </w:r>
      <w:r w:rsidR="003F1661">
        <w:t>COVID</w:t>
      </w:r>
      <w:r w:rsidR="00EA362C">
        <w:t>-19 infor</w:t>
      </w:r>
      <w:r>
        <w:t xml:space="preserve">miert. Dieses Schreiben hat das Staatsministerium des Innern, für Sport und Integration auch in seinem Geschäftsbereich bekannt gegeben. Die obersten Dienstbehörden stehen seit Beginn der </w:t>
      </w:r>
      <w:r w:rsidR="003F1661">
        <w:t>Coronapandemie</w:t>
      </w:r>
      <w:r>
        <w:t xml:space="preserve"> in beamtenrechtlichen Fragestellungen, so</w:t>
      </w:r>
      <w:r w:rsidR="00EA362C">
        <w:t xml:space="preserve"> </w:t>
      </w:r>
      <w:r>
        <w:t xml:space="preserve">auch im Hinblick auf die Anerkennung einer Infektion mit dem Coronavirus </w:t>
      </w:r>
      <w:r w:rsidR="003F1661">
        <w:t>SARS</w:t>
      </w:r>
      <w:r>
        <w:t>-CoV-2 als Dienstunfall, in regelmäßigen Kontakt.</w:t>
      </w:r>
    </w:p>
    <w:p w:rsidR="004E2F84" w:rsidRDefault="004E2F84" w:rsidP="004E2F84">
      <w:pPr>
        <w:pStyle w:val="LTAntwortRessortText"/>
      </w:pPr>
      <w:r>
        <w:t xml:space="preserve">Die Berücksichtigung einer Erkrankung an </w:t>
      </w:r>
      <w:r w:rsidR="003F1661">
        <w:t>COVID</w:t>
      </w:r>
      <w:r>
        <w:t>-1</w:t>
      </w:r>
      <w:r w:rsidR="00EA362C">
        <w:t>9 als Dienstunfallfolge oder Be</w:t>
      </w:r>
      <w:r>
        <w:t>rufskrankheit ist möglich, wenn die gesetzlichen V</w:t>
      </w:r>
      <w:r w:rsidR="000F150F">
        <w:t>oraussetzungen des Art. 46 Abs. </w:t>
      </w:r>
      <w:r>
        <w:t xml:space="preserve">1 Satz 1 bzw. Art. 46 Abs. 3 </w:t>
      </w:r>
      <w:r w:rsidR="00822EE3">
        <w:t>Beamtenversorgungsgesetz (</w:t>
      </w:r>
      <w:r>
        <w:t>BayBeamtVG</w:t>
      </w:r>
      <w:r w:rsidR="00822EE3">
        <w:t>)</w:t>
      </w:r>
      <w:r>
        <w:t xml:space="preserve"> vorliegen und unter Ausschöpfung aller zur Verfügung stehenden Möglichkeiten die ansp</w:t>
      </w:r>
      <w:r w:rsidR="00822EE3">
        <w:t>ruchsbegründenden Tatsachen ein</w:t>
      </w:r>
      <w:r>
        <w:t>schließlich der Kausalität mit an Sicherheit grenzender Wahrscheinlichkeit ermittelt werden können.</w:t>
      </w:r>
    </w:p>
    <w:p w:rsidR="004E2F84" w:rsidRDefault="004E2F84" w:rsidP="003C653A">
      <w:pPr>
        <w:pStyle w:val="LTAntwortRessortText"/>
        <w:spacing w:before="0"/>
      </w:pPr>
      <w:r>
        <w:t xml:space="preserve">Auch stellt eine Infektion mit dem Coronavirus </w:t>
      </w:r>
      <w:r w:rsidR="003F1661">
        <w:t>SARS</w:t>
      </w:r>
      <w:r w:rsidR="00EA362C">
        <w:t>-CoV-2 nicht zwingend eine Er</w:t>
      </w:r>
      <w:r w:rsidR="00904304">
        <w:t>krankung im medizinischen</w:t>
      </w:r>
      <w:r>
        <w:t xml:space="preserve"> Sinne dar, sondern erst, wenn der Betroffene auch die entsprechenden Symptome entwickelt, vgl. § 2 Infektionsschutzgesetz.</w:t>
      </w:r>
    </w:p>
    <w:p w:rsidR="004E2F84" w:rsidRDefault="004E2F84" w:rsidP="004E2F84">
      <w:pPr>
        <w:pStyle w:val="LTAntwortRessortText"/>
      </w:pPr>
      <w:r>
        <w:t xml:space="preserve">Rechtsänderungen im Bereich der beamtenrechtlichen </w:t>
      </w:r>
      <w:r w:rsidR="00EA362C">
        <w:t>Unfallfürsorge sind nicht erfor</w:t>
      </w:r>
      <w:r>
        <w:t xml:space="preserve">derlich. Das geltende Dienstunfallrecht ermöglicht eine sachgerechte Bewertung von Erkrankungen an </w:t>
      </w:r>
      <w:r w:rsidR="003F1661">
        <w:t>COVID</w:t>
      </w:r>
      <w:r>
        <w:t>-19 als Dienstunfallfolge o</w:t>
      </w:r>
      <w:r w:rsidR="00EA362C">
        <w:t>der Berufskrankheit auch im Ver</w:t>
      </w:r>
      <w:r>
        <w:t>gleich mit anderen Infektionskrankheiten.</w:t>
      </w:r>
    </w:p>
    <w:p w:rsidR="004E2F84" w:rsidRDefault="004E2F84">
      <w:bookmarkStart w:id="78" w:name="Frage_Nr_38_Ende"/>
      <w:bookmarkEnd w:id="7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9686D" w:rsidTr="0059686D">
        <w:tc>
          <w:tcPr>
            <w:tcW w:w="1854" w:type="dxa"/>
          </w:tcPr>
          <w:p w:rsidR="0059686D" w:rsidRDefault="0059686D" w:rsidP="0059686D">
            <w:pPr>
              <w:pStyle w:val="LTAnfrageInitiator"/>
            </w:pPr>
            <w:r>
              <w:lastRenderedPageBreak/>
              <w:t>Abgeordneter</w:t>
            </w:r>
            <w:r>
              <w:rPr>
                <w:b/>
              </w:rPr>
              <w:br/>
              <w:t>Markus</w:t>
            </w:r>
            <w:r>
              <w:rPr>
                <w:b/>
              </w:rPr>
              <w:br/>
              <w:t>Rinderspacher</w:t>
            </w:r>
            <w:r>
              <w:rPr>
                <w:b/>
              </w:rPr>
              <w:br/>
            </w:r>
            <w:r>
              <w:t>(SPD)</w:t>
            </w:r>
            <w:bookmarkStart w:id="79" w:name="Frage_Nr_39"/>
            <w:bookmarkEnd w:id="79"/>
          </w:p>
        </w:tc>
        <w:tc>
          <w:tcPr>
            <w:tcW w:w="5762" w:type="dxa"/>
          </w:tcPr>
          <w:p w:rsidR="0059686D" w:rsidRPr="00E85D1C" w:rsidRDefault="0059686D" w:rsidP="00E85D1C">
            <w:pPr>
              <w:pStyle w:val="LTAnfrageText"/>
            </w:pPr>
            <w:r w:rsidRPr="00E85D1C">
              <w:t>Ich frage die Staatsregierung, ist ihr bekannt, dass beispielsweise im Land Berlin rund 40 Prozent der Anträge auf Anerkennung einer Corona-Infektion als Dienstunfall genehmigt wurden, hat die Staatsregierung Kenntnis davon, dass es z. B. in Niedersachsen zwischen dem Land und der Gewerkschaft der Polizei eine Musterklagevereinbarung zu dieser Thematik gibt und wie bewertet die Staatsregierung diese im Sinne der betroffenen Beamtinnen und Beamten nicht nur angemessenen, sondern auch erforderlichen Regelungen im Vergleich zur bayerischen Situation? </w:t>
            </w:r>
          </w:p>
        </w:tc>
        <w:tc>
          <w:tcPr>
            <w:tcW w:w="5762" w:type="dxa"/>
          </w:tcPr>
          <w:p w:rsidR="0059686D" w:rsidRDefault="0059686D" w:rsidP="0059686D">
            <w:pPr>
              <w:pStyle w:val="LTAnfrageText"/>
            </w:pPr>
          </w:p>
        </w:tc>
      </w:tr>
    </w:tbl>
    <w:p w:rsidR="004E2F84" w:rsidRDefault="004E2F84" w:rsidP="004E2F84">
      <w:pPr>
        <w:pStyle w:val="LTUeberschrAntwortRessort"/>
      </w:pPr>
      <w:r>
        <w:t>Antwort des Staatsministeriums der Finanzen und für Heimat</w:t>
      </w:r>
    </w:p>
    <w:p w:rsidR="004E2F84" w:rsidRDefault="004E2F84" w:rsidP="004E2F84">
      <w:pPr>
        <w:pStyle w:val="LTAntwortRessortText"/>
      </w:pPr>
      <w:r>
        <w:t xml:space="preserve">Einzelheiten zu den genannten Anträgen im Land </w:t>
      </w:r>
      <w:r w:rsidR="00EA362C">
        <w:t>Berlin sowie der im Land Nieder</w:t>
      </w:r>
      <w:r>
        <w:t>sachsen getroffenen Musterklagevereinbarung sind h</w:t>
      </w:r>
      <w:r w:rsidR="00EA362C">
        <w:t>ier nicht bekannt. Die gesetzli</w:t>
      </w:r>
      <w:r>
        <w:t xml:space="preserve">chen Voraussetzungen für die Anerkennung einer Erkrankung an </w:t>
      </w:r>
      <w:r w:rsidR="003F1661">
        <w:t>COVID</w:t>
      </w:r>
      <w:r>
        <w:t>-19 als Dienstunfall oder Berufskrankheit sind bei Bun</w:t>
      </w:r>
      <w:r w:rsidR="00EA362C">
        <w:t>d und Ländern vergleichbar. Maßg</w:t>
      </w:r>
      <w:r>
        <w:t xml:space="preserve">eblich sind stets die Umstände des Einzelfalls. Ein Bedarf für eine </w:t>
      </w:r>
      <w:r w:rsidR="003F1661">
        <w:t>„</w:t>
      </w:r>
      <w:r w:rsidR="00EA362C">
        <w:t>Musterklageverein</w:t>
      </w:r>
      <w:r>
        <w:t>barung</w:t>
      </w:r>
      <w:r w:rsidR="003F1661">
        <w:t>“</w:t>
      </w:r>
      <w:r>
        <w:t xml:space="preserve"> ist nicht ersichtlich.</w:t>
      </w:r>
    </w:p>
    <w:p w:rsidR="004E2F84" w:rsidRDefault="004E2F84">
      <w:bookmarkStart w:id="80" w:name="Frage_Nr_39_Ende"/>
      <w:bookmarkEnd w:id="80"/>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59686D" w:rsidTr="0059686D">
        <w:tc>
          <w:tcPr>
            <w:tcW w:w="1873" w:type="dxa"/>
          </w:tcPr>
          <w:p w:rsidR="0059686D" w:rsidRDefault="0059686D" w:rsidP="0059686D">
            <w:pPr>
              <w:pStyle w:val="LTAnfrageInitiator"/>
            </w:pPr>
            <w:r>
              <w:lastRenderedPageBreak/>
              <w:t>Abgeordneter</w:t>
            </w:r>
            <w:r>
              <w:rPr>
                <w:b/>
              </w:rPr>
              <w:br/>
              <w:t>Arif</w:t>
            </w:r>
            <w:r>
              <w:rPr>
                <w:b/>
              </w:rPr>
              <w:br/>
              <w:t>Ta</w:t>
            </w:r>
            <w:r>
              <w:rPr>
                <w:rFonts w:cs="Arial"/>
                <w:b/>
              </w:rPr>
              <w:t>ş</w:t>
            </w:r>
            <w:r>
              <w:rPr>
                <w:b/>
              </w:rPr>
              <w:t>delen</w:t>
            </w:r>
            <w:r>
              <w:rPr>
                <w:b/>
              </w:rPr>
              <w:br/>
            </w:r>
            <w:r>
              <w:t>(SPD)</w:t>
            </w:r>
            <w:bookmarkStart w:id="81" w:name="Frage_Nr_40"/>
            <w:bookmarkEnd w:id="81"/>
          </w:p>
        </w:tc>
        <w:tc>
          <w:tcPr>
            <w:tcW w:w="5743" w:type="dxa"/>
          </w:tcPr>
          <w:p w:rsidR="0059686D" w:rsidRPr="00E85D1C" w:rsidRDefault="0059686D" w:rsidP="00E85D1C">
            <w:pPr>
              <w:pStyle w:val="LTAnfrageText"/>
            </w:pPr>
            <w:r w:rsidRPr="00E85D1C">
              <w:t>Ich frage die Staatsregierung, wie viele Stellen gab es zum Stichtag 01.01.2021 an den bayerischen Finanzämtern, wie viele Stellen davon waren nicht mit Arbeitskräften besetzt und welche wesentlichen Gründe (bitte unter Nennung der Anzahl der Stellen, die jeweils in Anspruch genommen werden) gibt es dafür?</w:t>
            </w:r>
          </w:p>
        </w:tc>
        <w:tc>
          <w:tcPr>
            <w:tcW w:w="5743" w:type="dxa"/>
          </w:tcPr>
          <w:p w:rsidR="0059686D" w:rsidRDefault="0059686D" w:rsidP="0059686D">
            <w:pPr>
              <w:pStyle w:val="LTAnfrageText"/>
            </w:pPr>
          </w:p>
        </w:tc>
      </w:tr>
    </w:tbl>
    <w:p w:rsidR="004E2F84" w:rsidRDefault="004E2F84" w:rsidP="004E2F84">
      <w:pPr>
        <w:pStyle w:val="LTUeberschrAntwortRessort"/>
      </w:pPr>
      <w:r>
        <w:t>Antwort des Staatsministeriums der Finanzen und für Heimat</w:t>
      </w:r>
    </w:p>
    <w:p w:rsidR="004E2F84" w:rsidRDefault="004E2F84" w:rsidP="004E2F84">
      <w:pPr>
        <w:pStyle w:val="LTAntwortRessortText"/>
      </w:pPr>
      <w:r>
        <w:t xml:space="preserve">Zum </w:t>
      </w:r>
      <w:r w:rsidR="00822EE3">
        <w:t>01.01.</w:t>
      </w:r>
      <w:r>
        <w:t>2021 standen an den bayeri</w:t>
      </w:r>
      <w:r w:rsidR="00822EE3">
        <w:t>schen Finanzämtern insgesamt 16 </w:t>
      </w:r>
      <w:r w:rsidR="002D4019">
        <w:t>384 Stellen für p</w:t>
      </w:r>
      <w:r>
        <w:t>lanmäßige Beamte s</w:t>
      </w:r>
      <w:r w:rsidR="00EA362C">
        <w:t>owie Arbeitnehmer</w:t>
      </w:r>
      <w:r w:rsidR="002D4019">
        <w:t>innen</w:t>
      </w:r>
      <w:r w:rsidR="00EA362C">
        <w:t xml:space="preserve"> und Arbeitneh</w:t>
      </w:r>
      <w:r>
        <w:t xml:space="preserve">mer zur Verfügung. Das Personal-Ist beträgt zum Stichtag </w:t>
      </w:r>
      <w:r w:rsidR="00822EE3">
        <w:t>01.01.2021 15 </w:t>
      </w:r>
      <w:r>
        <w:t>016 Vollzeitkräfte. Weitere Stellen s</w:t>
      </w:r>
      <w:r w:rsidR="00EA362C">
        <w:t>ind mit Beschäftigten in Ausbil</w:t>
      </w:r>
      <w:r>
        <w:t>dungsqualifizierung (126), Anwärter</w:t>
      </w:r>
      <w:r w:rsidR="002D4019">
        <w:t>innen/Anwärter</w:t>
      </w:r>
      <w:r>
        <w:t xml:space="preserve"> (1) oder abgeordneten Beamt</w:t>
      </w:r>
      <w:r w:rsidR="002D4019">
        <w:t>innen</w:t>
      </w:r>
      <w:r>
        <w:t>/Beamt</w:t>
      </w:r>
      <w:r w:rsidR="002D4019">
        <w:t>e</w:t>
      </w:r>
      <w:r>
        <w:t xml:space="preserve">n (254) besetzt, unterliegen einer Wiederbesetzungssperre (246) oder sind wegen Altersteilzeit gesperrt bzw. nicht besetzbar (360). Darüber hinaus sind Stellen (insgesamt 381) </w:t>
      </w:r>
      <w:r w:rsidR="00EA362C">
        <w:t>für Rückkehrer</w:t>
      </w:r>
      <w:r w:rsidR="00822EE3">
        <w:t>innen</w:t>
      </w:r>
      <w:r w:rsidR="00EA362C">
        <w:t>/Rückkeh</w:t>
      </w:r>
      <w:r w:rsidR="00822EE3">
        <w:t>rer</w:t>
      </w:r>
      <w:r>
        <w:t xml:space="preserve"> aus Beurlaubungen und für Teilzeitaufstockungen freizuhalten oder entfallen auf Personalabgänge nach der let</w:t>
      </w:r>
      <w:r w:rsidR="00EA362C">
        <w:t>ztjährigen Übernahme der geprüf</w:t>
      </w:r>
      <w:r>
        <w:t>ten Anwärter</w:t>
      </w:r>
      <w:r w:rsidR="00822EE3">
        <w:t>innen</w:t>
      </w:r>
      <w:r>
        <w:t>/Anwärter</w:t>
      </w:r>
      <w:r w:rsidR="00822EE3">
        <w:t xml:space="preserve"> </w:t>
      </w:r>
      <w:r>
        <w:t>im Herbst 2020.</w:t>
      </w:r>
    </w:p>
    <w:p w:rsidR="004E2F84" w:rsidRDefault="004E2F84">
      <w:bookmarkStart w:id="82" w:name="Frage_Nr_40_Ende"/>
      <w:bookmarkEnd w:id="82"/>
      <w:r>
        <w:br w:type="page"/>
      </w:r>
    </w:p>
    <w:p w:rsidR="004E2F84" w:rsidRDefault="004E2F84" w:rsidP="004E2F84">
      <w:pPr>
        <w:pStyle w:val="LTUeberschrRessort"/>
      </w:pPr>
      <w:r>
        <w:lastRenderedPageBreak/>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AE3D45" w:rsidTr="00AE3D45">
        <w:tc>
          <w:tcPr>
            <w:tcW w:w="1852" w:type="dxa"/>
          </w:tcPr>
          <w:p w:rsidR="00AE3D45" w:rsidRDefault="00AE3D45" w:rsidP="00AE3D45">
            <w:pPr>
              <w:pStyle w:val="LTAnfrageInitiator"/>
            </w:pPr>
            <w:r>
              <w:t>Abgeordneter</w:t>
            </w:r>
            <w:r>
              <w:rPr>
                <w:b/>
              </w:rPr>
              <w:br/>
              <w:t>Albert</w:t>
            </w:r>
            <w:r>
              <w:rPr>
                <w:b/>
              </w:rPr>
              <w:br/>
              <w:t>Duin</w:t>
            </w:r>
            <w:r>
              <w:rPr>
                <w:b/>
              </w:rPr>
              <w:br/>
            </w:r>
            <w:r>
              <w:t>(FDP)</w:t>
            </w:r>
            <w:bookmarkStart w:id="83" w:name="Frage_Nr_41"/>
            <w:bookmarkEnd w:id="83"/>
          </w:p>
        </w:tc>
        <w:tc>
          <w:tcPr>
            <w:tcW w:w="5764" w:type="dxa"/>
          </w:tcPr>
          <w:p w:rsidR="00AE3D45" w:rsidRPr="00E85D1C" w:rsidRDefault="00AE3D45" w:rsidP="00E85D1C">
            <w:pPr>
              <w:pStyle w:val="LTAnfrageText"/>
            </w:pPr>
            <w:r w:rsidRPr="00E85D1C">
              <w:t>Ich frage die Staatsregierung, welche Hightech-Summits mit dem Thema Luft- und Raumfahrt haben seit 2019 stattgefunden, wie viel der ursprünglich für das Programm Bavaria One vorgesehenen 700 Mio. Euro wurden bereits ausgegeben und welche Unternehmen werden aktuell im Bereich der Luft- und Raumfahrt vom Freistaat finanziell gefördert (bitte nach Programm/Haushaltstitel/Unternehmen/Höhe der Fördermittel aufschlüsseln)? </w:t>
            </w:r>
          </w:p>
        </w:tc>
        <w:tc>
          <w:tcPr>
            <w:tcW w:w="5764"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r w:rsidR="005A0908">
        <w:t xml:space="preserve"> und des </w:t>
      </w:r>
      <w:r w:rsidR="00AC47E6">
        <w:t>Staatsministeriums für Wissenschaft und Kunst</w:t>
      </w:r>
    </w:p>
    <w:p w:rsidR="004E2F84" w:rsidRPr="000F4201" w:rsidRDefault="00AC47E6" w:rsidP="004E2F84">
      <w:pPr>
        <w:pStyle w:val="LTAntwortRessortText"/>
        <w:rPr>
          <w:b/>
          <w:u w:val="single"/>
        </w:rPr>
      </w:pPr>
      <w:r w:rsidRPr="000F4201">
        <w:rPr>
          <w:b/>
          <w:u w:val="single"/>
        </w:rPr>
        <w:t>Aus Datenschutzgründen keine Drucklegung.</w:t>
      </w:r>
    </w:p>
    <w:p w:rsidR="004E2F84" w:rsidRDefault="004E2F84">
      <w:bookmarkStart w:id="84" w:name="Frage_Nr_41_Ende"/>
      <w:bookmarkEnd w:id="8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E3D45" w:rsidTr="00AE3D45">
        <w:tc>
          <w:tcPr>
            <w:tcW w:w="1854" w:type="dxa"/>
          </w:tcPr>
          <w:p w:rsidR="00AE3D45" w:rsidRDefault="00AE3D45" w:rsidP="00AE3D45">
            <w:pPr>
              <w:pStyle w:val="LTAnfrageInitiator"/>
            </w:pPr>
            <w:r>
              <w:lastRenderedPageBreak/>
              <w:t>Abgeordneter</w:t>
            </w:r>
            <w:r>
              <w:rPr>
                <w:b/>
              </w:rPr>
              <w:br/>
              <w:t>Harald</w:t>
            </w:r>
            <w:r>
              <w:rPr>
                <w:b/>
              </w:rPr>
              <w:br/>
              <w:t>Güller</w:t>
            </w:r>
            <w:r>
              <w:rPr>
                <w:b/>
              </w:rPr>
              <w:br/>
            </w:r>
            <w:r>
              <w:t>(SPD)</w:t>
            </w:r>
            <w:bookmarkStart w:id="85" w:name="Frage_Nr_42"/>
            <w:bookmarkEnd w:id="85"/>
          </w:p>
        </w:tc>
        <w:tc>
          <w:tcPr>
            <w:tcW w:w="5762" w:type="dxa"/>
          </w:tcPr>
          <w:p w:rsidR="00AE3D45" w:rsidRPr="00E85D1C" w:rsidRDefault="00AE3D45" w:rsidP="00E85D1C">
            <w:pPr>
              <w:pStyle w:val="LTAnfrageText"/>
            </w:pPr>
            <w:r w:rsidRPr="00E85D1C">
              <w:t>Mit Blick auf die aktuelle Diskussion um den Bau der Stromtrassen SuedLink im Raum Mainfranken und Berichte über Forderungen nach einer Erweiterung des Projekts (Main Post vom 20.01.2021) frage ich die Staatsregierung, wie bewertet sie den Vorschlag der Bundesländer Baden-Württemberg, Hessen, Niedersachsen und Schleswig-Holstein, die Kapazitäten des SuedLink über die aktuellen Planungen hinaus auszubauen und durch einen dritten Strang zu ergänzen, sollte das Vorhaben SuedLink 3 nach Auffassung der Staatsregierung in die Bundesbedarfsplanung aufgenommen werden und wie bewertet die Staatsregierung in diesem Zusammenhang das vom BUND Naturschutz in Auftrag gegebene wissenschaftliche Gutachten „Ist SuedLink zwingend erforderlich?“ zum energiepolitischen und wirtschaftlichen Nutzen des SuedLink?</w:t>
            </w:r>
          </w:p>
        </w:tc>
        <w:tc>
          <w:tcPr>
            <w:tcW w:w="5762"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p>
    <w:p w:rsidR="004E2F84" w:rsidRDefault="00EA362C" w:rsidP="004E2F84">
      <w:pPr>
        <w:pStyle w:val="LTAntwortRessortText"/>
      </w:pPr>
      <w:r>
        <w:t xml:space="preserve">Die </w:t>
      </w:r>
      <w:r w:rsidR="004E2F84">
        <w:t>Staatsregierung setzt sich dafür ein,</w:t>
      </w:r>
      <w:r w:rsidR="005A0908">
        <w:t xml:space="preserve"> dass der Netzausbau auf das ab</w:t>
      </w:r>
      <w:r w:rsidR="004E2F84">
        <w:t>solut notwendige Minimum beschränkt bleibt und im Einklang mit den Interessen der Bürgerinnen und Bürger in Bayern erfolgt.</w:t>
      </w:r>
    </w:p>
    <w:p w:rsidR="004E2F84" w:rsidRDefault="004E2F84" w:rsidP="004E2F84">
      <w:pPr>
        <w:pStyle w:val="LTAntwortRessortText"/>
      </w:pPr>
      <w:r>
        <w:t>Richtschnur für die Ermittlung des Bedarfs des erford</w:t>
      </w:r>
      <w:r w:rsidR="002D4019">
        <w:t>erlichen überregionalen Netzaus</w:t>
      </w:r>
      <w:r>
        <w:t>baus bildet der dafür gesetzlich vorgeschriebene, transparente Prozess bestehend aus Netzentwicklungsplan und Bundesbedarfsplan. In diesem Rahmen werden von der Bu</w:t>
      </w:r>
      <w:r w:rsidR="002D4019">
        <w:t>ndesnetzagentur als unabhängige</w:t>
      </w:r>
      <w:r>
        <w:t xml:space="preserve"> Prüfbehörde</w:t>
      </w:r>
      <w:r w:rsidR="005A0908">
        <w:t xml:space="preserve"> die notwendigen Projekte vorge</w:t>
      </w:r>
      <w:r>
        <w:t>schlagen und anschließend vom Bundesgesetzgeber festgelegt. Dieses Vorgehen wird auch von den hierfür einschlägigen Fachexperten</w:t>
      </w:r>
      <w:r w:rsidR="005A0908">
        <w:t xml:space="preserve"> als zielführend erachtet. Will</w:t>
      </w:r>
      <w:r w:rsidR="002D4019">
        <w:t>kürliche Eingriffe</w:t>
      </w:r>
      <w:r>
        <w:t xml:space="preserve"> wie der Vorschlag, kurzfristig un</w:t>
      </w:r>
      <w:r w:rsidR="005A0908">
        <w:t>ter Umgehung dieses zugrundelie</w:t>
      </w:r>
      <w:r>
        <w:t>genden Prozesses zusätzliche Projekte wie den dri</w:t>
      </w:r>
      <w:r w:rsidR="005A0908">
        <w:t>tten SuedLink-Strang in das Bun</w:t>
      </w:r>
      <w:r>
        <w:t>desbedarfsplangesetz aufzunehmen, haben zu unterbleiben.</w:t>
      </w:r>
    </w:p>
    <w:p w:rsidR="004E2F84" w:rsidRDefault="004E2F84" w:rsidP="004E2F84">
      <w:pPr>
        <w:pStyle w:val="LTAntwortRessortText"/>
      </w:pPr>
      <w:r>
        <w:t>Eine Kapazitätserhöhung des SuedLink ist daher zum aktuellen Zeitpunkt aus Sicht der Staatsregierung entschieden abzulehnen. Dies wurde seitens der Staatsregierung bereits von Anbeginn der diesbezüglichen Diskussion deutlich gemacht. Im Rahmen der inzwischen erfo</w:t>
      </w:r>
      <w:r w:rsidR="005A0908">
        <w:t>lgten Änderung des Bundesbedarf</w:t>
      </w:r>
      <w:r>
        <w:t>splangesetzes erfolgte insofern folgerichtig auch keine Aufnahme eines dritten SuedLink-Strangs.</w:t>
      </w:r>
    </w:p>
    <w:p w:rsidR="004E2F84" w:rsidRDefault="004E2F84">
      <w:bookmarkStart w:id="86" w:name="Frage_Nr_42_Ende"/>
      <w:bookmarkEnd w:id="8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E3D45" w:rsidTr="00AE3D45">
        <w:tc>
          <w:tcPr>
            <w:tcW w:w="1854" w:type="dxa"/>
          </w:tcPr>
          <w:p w:rsidR="00AE3D45" w:rsidRDefault="00AE3D45" w:rsidP="00AE3D45">
            <w:pPr>
              <w:pStyle w:val="LTAnfrageInitiator"/>
            </w:pPr>
            <w:r>
              <w:lastRenderedPageBreak/>
              <w:t>Abgeordnete</w:t>
            </w:r>
            <w:r>
              <w:rPr>
                <w:b/>
              </w:rPr>
              <w:br/>
              <w:t>Annette</w:t>
            </w:r>
            <w:r>
              <w:rPr>
                <w:b/>
              </w:rPr>
              <w:br/>
              <w:t>Karl</w:t>
            </w:r>
            <w:r>
              <w:rPr>
                <w:b/>
              </w:rPr>
              <w:br/>
            </w:r>
            <w:r>
              <w:t>(SPD)</w:t>
            </w:r>
            <w:bookmarkStart w:id="87" w:name="Frage_Nr_43"/>
            <w:bookmarkEnd w:id="87"/>
          </w:p>
        </w:tc>
        <w:tc>
          <w:tcPr>
            <w:tcW w:w="5762" w:type="dxa"/>
          </w:tcPr>
          <w:p w:rsidR="00AE3D45" w:rsidRPr="00E85D1C" w:rsidRDefault="00AE3D45" w:rsidP="00E85D1C">
            <w:pPr>
              <w:pStyle w:val="LTAnfrageText"/>
            </w:pPr>
            <w:r w:rsidRPr="00E85D1C">
              <w:t>Angesichts der von Staatsminister für Wirtschaft, Landesentwicklung und Energie Hubert Aiwanger kommunizierten drei Säulen der wirtschaftspolitischen Krisenstrategie (Öffnungen und Lockerungen, steuerliche Entl</w:t>
            </w:r>
            <w:r w:rsidR="002D4019">
              <w:t>astung, Verlängerung der Bundes</w:t>
            </w:r>
            <w:r w:rsidRPr="00E85D1C">
              <w:t>hilfsprogramme) frage ich die Staatsregierung, welche Vorbereitungen sie derzeit trifft, sollten aufgrund zurückgehender Impfbereitschaft in der Bevölkerung im Herbst erneut Schließungen im Wirtschaftsbereich drohen, und welches Konzept sie zur Unterstützung der heimischen Wirtschaft verfolgt, das über die Forderungen nach steuerlicher Entlastung und Verlängerung von Bundeshilfsprogrammen hinausgeht? </w:t>
            </w:r>
          </w:p>
        </w:tc>
        <w:tc>
          <w:tcPr>
            <w:tcW w:w="5762" w:type="dxa"/>
          </w:tcPr>
          <w:p w:rsidR="00AE3D45" w:rsidRDefault="00AE3D45" w:rsidP="00AE3D45">
            <w:pPr>
              <w:pStyle w:val="LTAnfrageText"/>
            </w:pPr>
          </w:p>
        </w:tc>
      </w:tr>
    </w:tbl>
    <w:p w:rsidR="004E2F84" w:rsidRDefault="004E2F84" w:rsidP="002D4019">
      <w:pPr>
        <w:pStyle w:val="LTUeberschrAntwortRessort"/>
        <w:spacing w:before="680"/>
      </w:pPr>
      <w:r>
        <w:t>Antwort des Staatsministeriums für Wirtschaft, Landesentwicklung und Energie</w:t>
      </w:r>
    </w:p>
    <w:p w:rsidR="00CD314B" w:rsidRPr="00CD314B" w:rsidRDefault="00CD314B" w:rsidP="00CD314B">
      <w:pPr>
        <w:pStyle w:val="Default"/>
        <w:spacing w:before="240"/>
        <w:ind w:left="340"/>
        <w:rPr>
          <w:rFonts w:cs="Times New Roman"/>
          <w:color w:val="auto"/>
          <w:sz w:val="20"/>
          <w:szCs w:val="22"/>
        </w:rPr>
      </w:pPr>
      <w:r w:rsidRPr="00CD314B">
        <w:rPr>
          <w:rFonts w:cs="Times New Roman"/>
          <w:color w:val="auto"/>
          <w:sz w:val="20"/>
          <w:szCs w:val="22"/>
        </w:rPr>
        <w:t>Angesichts des Impffortschritts und der mittlerweile</w:t>
      </w:r>
      <w:r>
        <w:rPr>
          <w:rFonts w:cs="Times New Roman"/>
          <w:color w:val="auto"/>
          <w:sz w:val="20"/>
          <w:szCs w:val="22"/>
        </w:rPr>
        <w:t xml:space="preserve"> zur Verfügung stehenden Schutz</w:t>
      </w:r>
      <w:r w:rsidRPr="00CD314B">
        <w:rPr>
          <w:rFonts w:cs="Times New Roman"/>
          <w:color w:val="auto"/>
          <w:sz w:val="20"/>
          <w:szCs w:val="22"/>
        </w:rPr>
        <w:t xml:space="preserve">maßnahmen ist für den kommenden Herbst ein differenzierter Ansatz denkbar. </w:t>
      </w:r>
    </w:p>
    <w:p w:rsidR="00CD314B" w:rsidRPr="00CD314B" w:rsidRDefault="00CD314B" w:rsidP="00EB15A8">
      <w:pPr>
        <w:pStyle w:val="Default"/>
        <w:spacing w:before="240"/>
        <w:ind w:left="340"/>
        <w:jc w:val="both"/>
        <w:rPr>
          <w:rFonts w:cs="Times New Roman"/>
          <w:color w:val="auto"/>
          <w:sz w:val="20"/>
          <w:szCs w:val="22"/>
        </w:rPr>
      </w:pPr>
      <w:r w:rsidRPr="00CD314B">
        <w:rPr>
          <w:rFonts w:cs="Times New Roman"/>
          <w:color w:val="auto"/>
          <w:sz w:val="20"/>
          <w:szCs w:val="22"/>
        </w:rPr>
        <w:t>Im Bereich Handel und Dienstleistungen haben sich die umfangreichen Hygiene- und Schutzmaßnahmen bewährt. Zur Unterstützung de</w:t>
      </w:r>
      <w:r>
        <w:rPr>
          <w:rFonts w:cs="Times New Roman"/>
          <w:color w:val="auto"/>
          <w:sz w:val="20"/>
          <w:szCs w:val="22"/>
        </w:rPr>
        <w:t>r Betriebe hat das St</w:t>
      </w:r>
      <w:r w:rsidR="00822EE3">
        <w:rPr>
          <w:rFonts w:cs="Times New Roman"/>
          <w:color w:val="auto"/>
          <w:sz w:val="20"/>
          <w:szCs w:val="22"/>
        </w:rPr>
        <w:t>aatsministerium für Wirtschaft, Landesentwicklung und Energie</w:t>
      </w:r>
      <w:r>
        <w:rPr>
          <w:rFonts w:cs="Times New Roman"/>
          <w:color w:val="auto"/>
          <w:sz w:val="20"/>
          <w:szCs w:val="22"/>
        </w:rPr>
        <w:t xml:space="preserve"> ein um</w:t>
      </w:r>
      <w:r w:rsidRPr="00CD314B">
        <w:rPr>
          <w:rFonts w:cs="Times New Roman"/>
          <w:color w:val="auto"/>
          <w:sz w:val="20"/>
          <w:szCs w:val="22"/>
        </w:rPr>
        <w:t>fangreiches Hilfsprogramm mit verschiedenen Komponenten aufgelegt. Die Soforthilfe Handel wurde im April 2020 eingeführt und inzwischen bis Ende 2021 verlängert. Sie beinhaltet ein intensives Coaching von zahlreichen Werbegemeinschaften in ganz Bayern und gezielt auch Ei</w:t>
      </w:r>
      <w:r w:rsidR="00822EE3">
        <w:rPr>
          <w:rFonts w:cs="Times New Roman"/>
          <w:color w:val="auto"/>
          <w:sz w:val="20"/>
          <w:szCs w:val="22"/>
        </w:rPr>
        <w:t>nzelunternehmen, um die Coronak</w:t>
      </w:r>
      <w:r w:rsidRPr="00CD314B">
        <w:rPr>
          <w:rFonts w:cs="Times New Roman"/>
          <w:color w:val="auto"/>
          <w:sz w:val="20"/>
          <w:szCs w:val="22"/>
        </w:rPr>
        <w:t>rise zu überstehen und die Digitalisierung voran zu treiben. Im Rahmen des Förderprogramm</w:t>
      </w:r>
      <w:r>
        <w:rPr>
          <w:rFonts w:cs="Times New Roman"/>
          <w:color w:val="auto"/>
          <w:sz w:val="20"/>
          <w:szCs w:val="22"/>
        </w:rPr>
        <w:t>s Digitale Ein</w:t>
      </w:r>
      <w:r w:rsidRPr="00CD314B">
        <w:rPr>
          <w:rFonts w:cs="Times New Roman"/>
          <w:color w:val="auto"/>
          <w:sz w:val="20"/>
          <w:szCs w:val="22"/>
        </w:rPr>
        <w:t>kaufstadt Bayern wurden 2020 bereit</w:t>
      </w:r>
      <w:r w:rsidR="00822EE3">
        <w:rPr>
          <w:rFonts w:cs="Times New Roman"/>
          <w:color w:val="auto"/>
          <w:sz w:val="20"/>
          <w:szCs w:val="22"/>
        </w:rPr>
        <w:t>s elf Einzelprojekte von Städten</w:t>
      </w:r>
      <w:r w:rsidRPr="00CD314B">
        <w:rPr>
          <w:rFonts w:cs="Times New Roman"/>
          <w:color w:val="auto"/>
          <w:sz w:val="20"/>
          <w:szCs w:val="22"/>
        </w:rPr>
        <w:t>/Landkreisen gefördert, die Ausschreibung neuer Fördermaßnahmen in 2021 ist erfolgt und erste neue Förderprojekte sind bereits bewilligt. Der Aufbau einer Best-Practice-Plattform „Stadtimpulse“ von gelungenen Projekten des City- und Stadtmarketing</w:t>
      </w:r>
      <w:r w:rsidR="002D4019">
        <w:rPr>
          <w:rFonts w:cs="Times New Roman"/>
          <w:color w:val="auto"/>
          <w:sz w:val="20"/>
          <w:szCs w:val="22"/>
        </w:rPr>
        <w:t>s</w:t>
      </w:r>
      <w:r w:rsidRPr="00CD314B">
        <w:rPr>
          <w:rFonts w:cs="Times New Roman"/>
          <w:color w:val="auto"/>
          <w:sz w:val="20"/>
          <w:szCs w:val="22"/>
        </w:rPr>
        <w:t xml:space="preserve"> ist Ende April 2021 erfolgt. Im Rahmen des Fitnessprogramms „Sta</w:t>
      </w:r>
      <w:r w:rsidR="002D4019">
        <w:rPr>
          <w:rFonts w:cs="Times New Roman"/>
          <w:color w:val="auto"/>
          <w:sz w:val="20"/>
          <w:szCs w:val="22"/>
        </w:rPr>
        <w:t>rke Zentren“ werden fünf Modell</w:t>
      </w:r>
      <w:r w:rsidRPr="00CD314B">
        <w:rPr>
          <w:rFonts w:cs="Times New Roman"/>
          <w:color w:val="auto"/>
          <w:sz w:val="20"/>
          <w:szCs w:val="22"/>
        </w:rPr>
        <w:t>kommunen (Mittel- und Oberzentren) gefördert, hier l</w:t>
      </w:r>
      <w:r>
        <w:rPr>
          <w:rFonts w:cs="Times New Roman"/>
          <w:color w:val="auto"/>
          <w:sz w:val="20"/>
          <w:szCs w:val="22"/>
        </w:rPr>
        <w:t>äuft die Erarbeitung von Maßnah</w:t>
      </w:r>
      <w:r w:rsidRPr="00CD314B">
        <w:rPr>
          <w:rFonts w:cs="Times New Roman"/>
          <w:color w:val="auto"/>
          <w:sz w:val="20"/>
          <w:szCs w:val="22"/>
        </w:rPr>
        <w:t>m</w:t>
      </w:r>
      <w:r>
        <w:rPr>
          <w:rFonts w:cs="Times New Roman"/>
          <w:color w:val="auto"/>
          <w:sz w:val="20"/>
          <w:szCs w:val="22"/>
        </w:rPr>
        <w:t xml:space="preserve">enprogrammen. </w:t>
      </w:r>
    </w:p>
    <w:p w:rsidR="004E2F84" w:rsidRPr="00CD314B" w:rsidRDefault="00CD314B" w:rsidP="00CD314B">
      <w:pPr>
        <w:pStyle w:val="LTAntwortRessortText"/>
        <w:rPr>
          <w:szCs w:val="22"/>
        </w:rPr>
      </w:pPr>
      <w:r w:rsidRPr="00CD314B">
        <w:rPr>
          <w:szCs w:val="22"/>
        </w:rPr>
        <w:t>Im Bereich Gastronomie und Tourismus haben die stark rückläufigen Infektionszahlen der vergangenen Wochen umfangreiche Locke</w:t>
      </w:r>
      <w:r>
        <w:rPr>
          <w:szCs w:val="22"/>
        </w:rPr>
        <w:t>rungen und Öffnungen möglich ge</w:t>
      </w:r>
      <w:r w:rsidRPr="00CD314B">
        <w:rPr>
          <w:szCs w:val="22"/>
        </w:rPr>
        <w:t>macht. Dabei wurde und wird stets mit der erforderlichen Umsicht vorgegangen. So sind die Hygiene- bzw. Rahmenkonzepte aus dem vergangenen Jahr für die einzelnen Bereiche der Branche überarbeitet und an die aktuel</w:t>
      </w:r>
      <w:r>
        <w:rPr>
          <w:szCs w:val="22"/>
        </w:rPr>
        <w:t>len Erfordernisse angepasst wor</w:t>
      </w:r>
      <w:r w:rsidRPr="00CD314B">
        <w:rPr>
          <w:szCs w:val="22"/>
        </w:rPr>
        <w:t>den. Vor allem die Integration einer geeigneten Test</w:t>
      </w:r>
      <w:r>
        <w:rPr>
          <w:szCs w:val="22"/>
        </w:rPr>
        <w:t>strategie ermöglicht es, den Be</w:t>
      </w:r>
      <w:r w:rsidRPr="00CD314B">
        <w:rPr>
          <w:szCs w:val="22"/>
        </w:rPr>
        <w:t>trieb vor Ort aus infektiologischer Sicht noch siche</w:t>
      </w:r>
      <w:r>
        <w:rPr>
          <w:szCs w:val="22"/>
        </w:rPr>
        <w:t>rer zu machen. Zahlreiche Unter</w:t>
      </w:r>
      <w:r w:rsidRPr="00CD314B">
        <w:rPr>
          <w:szCs w:val="22"/>
        </w:rPr>
        <w:t>nehmen haben zusätzlich in Technologie zur Luftreinhal</w:t>
      </w:r>
      <w:r>
        <w:rPr>
          <w:szCs w:val="22"/>
        </w:rPr>
        <w:t>tung investiert (durch die Über</w:t>
      </w:r>
      <w:r w:rsidRPr="00CD314B">
        <w:rPr>
          <w:szCs w:val="22"/>
        </w:rPr>
        <w:t>brückungshilfe des Bundes gefördert). Durch die inzidenzabhängige Beschränkung des Zugangs auf genesene, getestete oder geimpfte</w:t>
      </w:r>
      <w:r>
        <w:rPr>
          <w:szCs w:val="22"/>
        </w:rPr>
        <w:t xml:space="preserve"> Personen kann das Infektionsri</w:t>
      </w:r>
      <w:r w:rsidRPr="00CD314B">
        <w:rPr>
          <w:szCs w:val="22"/>
        </w:rPr>
        <w:t>siko in den Betrieben weiter reduziert werden. Der M</w:t>
      </w:r>
      <w:r>
        <w:rPr>
          <w:szCs w:val="22"/>
        </w:rPr>
        <w:t>inisterrat hat am 18.05.2021 be</w:t>
      </w:r>
      <w:r w:rsidRPr="00CD314B">
        <w:rPr>
          <w:szCs w:val="22"/>
        </w:rPr>
        <w:t>schlossen, dass der Freistaat einen kraftvollen Neustart der Tourismusbranche mit bis zu 30 Mio. Euro fördert. Erforderlich ist vielfach eine Steigerung der Angebots- und Dienstleistungsqualität des Tourismus in Bayern, gerade bei den kleinen Anbietern. Schwerpunkte sollen die Bereiche Digitalisierung, Barri</w:t>
      </w:r>
      <w:r w:rsidRPr="00CD314B">
        <w:rPr>
          <w:szCs w:val="22"/>
        </w:rPr>
        <w:lastRenderedPageBreak/>
        <w:t>erefreiheit und Ökologie bilden. Der Bund hat die Überbrückungshilfe um drei Mon</w:t>
      </w:r>
      <w:r>
        <w:rPr>
          <w:szCs w:val="22"/>
        </w:rPr>
        <w:t>ate bis Ende September 2021 ver</w:t>
      </w:r>
      <w:r w:rsidRPr="00CD314B">
        <w:rPr>
          <w:szCs w:val="22"/>
        </w:rPr>
        <w:t>längert („Überbrückungshilfe III Plus“). Sollte im Herbst</w:t>
      </w:r>
      <w:r>
        <w:rPr>
          <w:szCs w:val="22"/>
        </w:rPr>
        <w:t xml:space="preserve"> das Bedürfnis für weitere Wirt</w:t>
      </w:r>
      <w:r w:rsidRPr="00CD314B">
        <w:rPr>
          <w:szCs w:val="22"/>
        </w:rPr>
        <w:t>schaftshilfen bestehen, wird sich die Staatsregieru</w:t>
      </w:r>
      <w:r>
        <w:rPr>
          <w:szCs w:val="22"/>
        </w:rPr>
        <w:t>ng auf Bundesebene für eine ent</w:t>
      </w:r>
      <w:r w:rsidRPr="00CD314B">
        <w:rPr>
          <w:szCs w:val="22"/>
        </w:rPr>
        <w:t>sprechende weitere Verlängerung der Überbrückungshilfe stark machen.</w:t>
      </w:r>
    </w:p>
    <w:p w:rsidR="004E2F84" w:rsidRDefault="004E2F84">
      <w:bookmarkStart w:id="88" w:name="Frage_Nr_43_Ende"/>
      <w:bookmarkEnd w:id="8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AE3D45" w:rsidTr="00AE3D45">
        <w:tc>
          <w:tcPr>
            <w:tcW w:w="1854" w:type="dxa"/>
          </w:tcPr>
          <w:p w:rsidR="00AE3D45" w:rsidRDefault="00AE3D45" w:rsidP="00AE3D45">
            <w:pPr>
              <w:pStyle w:val="LTAnfrageInitiator"/>
            </w:pPr>
            <w:r>
              <w:lastRenderedPageBreak/>
              <w:t>Abgeordneter</w:t>
            </w:r>
            <w:r>
              <w:rPr>
                <w:b/>
              </w:rPr>
              <w:br/>
              <w:t>Alexander</w:t>
            </w:r>
            <w:r>
              <w:rPr>
                <w:b/>
              </w:rPr>
              <w:br/>
              <w:t>Muthmann</w:t>
            </w:r>
            <w:r>
              <w:rPr>
                <w:b/>
              </w:rPr>
              <w:br/>
            </w:r>
            <w:r>
              <w:t>(FDP)</w:t>
            </w:r>
            <w:bookmarkStart w:id="89" w:name="Frage_Nr_44"/>
            <w:bookmarkEnd w:id="89"/>
          </w:p>
        </w:tc>
        <w:tc>
          <w:tcPr>
            <w:tcW w:w="5762" w:type="dxa"/>
          </w:tcPr>
          <w:p w:rsidR="00AE3D45" w:rsidRPr="00E85D1C" w:rsidRDefault="00AE3D45" w:rsidP="00E85D1C">
            <w:pPr>
              <w:pStyle w:val="LTAnfrageText"/>
            </w:pPr>
            <w:r w:rsidRPr="00E85D1C">
              <w:t>Ich frage die Staatsregierung, wie hoch die durchschnittlichen Fördersätze im Rahmen der gewerblichen Wirtschaftsförderung (GRW und BRF) in den einzelnen Regierungsbezirken im Zeitraum 2014 bis 2020 waren (bitte aufgegliedert nach den einzelnen Jahren sowie nach Lage des geförderten Betriebs in einem GRW C-, D- oder Nicht-Fördergebiet), wie viele dieser Förderungen in den C-Fördergebieten ober- b</w:t>
            </w:r>
            <w:r w:rsidR="00BB327F">
              <w:t>zw. unterhalb der Grenze der 20-</w:t>
            </w:r>
            <w:r w:rsidRPr="00E85D1C">
              <w:t>Prozent-Förderquote (</w:t>
            </w:r>
            <w:r w:rsidR="00BB327F">
              <w:t>für kleine Unternehmen) bzw. 10-</w:t>
            </w:r>
            <w:r w:rsidRPr="00E85D1C">
              <w:t>Prozent-Förderquote (für kleine Unternehmen) gewährt wurden (bitte getrennt nach den einzelnen Jahren sowie nach Regierungsbezirk darstellen) und wie viele Förderungen an große Unternehmen in den C-Fördergebieten erfolgt sind (in identischer Darstellung)?</w:t>
            </w:r>
          </w:p>
        </w:tc>
        <w:tc>
          <w:tcPr>
            <w:tcW w:w="5762"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p>
    <w:p w:rsidR="004E2F84" w:rsidRDefault="004E2F84" w:rsidP="004E2F84">
      <w:pPr>
        <w:pStyle w:val="LTAntwortRessortText"/>
      </w:pPr>
    </w:p>
    <w:tbl>
      <w:tblPr>
        <w:tblStyle w:val="TableNormal"/>
        <w:tblW w:w="0" w:type="auto"/>
        <w:tblInd w:w="265" w:type="dxa"/>
        <w:tblLook w:val="01E0" w:firstRow="1" w:lastRow="1" w:firstColumn="1" w:lastColumn="1" w:noHBand="0" w:noVBand="0"/>
      </w:tblPr>
      <w:tblGrid>
        <w:gridCol w:w="422"/>
        <w:gridCol w:w="1726"/>
        <w:gridCol w:w="738"/>
        <w:gridCol w:w="732"/>
        <w:gridCol w:w="732"/>
        <w:gridCol w:w="732"/>
        <w:gridCol w:w="803"/>
        <w:gridCol w:w="11"/>
      </w:tblGrid>
      <w:tr w:rsidR="004E2593" w:rsidRPr="000A4228" w:rsidTr="000A4228">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580" w:hanging="142"/>
              <w:rPr>
                <w:rFonts w:ascii="Arial" w:hAnsi="Arial" w:cs="Arial"/>
                <w:b/>
                <w:sz w:val="18"/>
              </w:rPr>
            </w:pPr>
            <w:r w:rsidRPr="000A4228">
              <w:rPr>
                <w:rFonts w:ascii="Arial" w:hAnsi="Arial" w:cs="Arial"/>
                <w:b/>
                <w:sz w:val="18"/>
              </w:rPr>
              <w:t>GRW-C</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171"/>
              <w:jc w:val="center"/>
              <w:rPr>
                <w:rFonts w:ascii="Arial" w:hAnsi="Arial" w:cs="Arial"/>
                <w:b/>
                <w:sz w:val="18"/>
              </w:rPr>
            </w:pPr>
            <w:r w:rsidRPr="000A4228">
              <w:rPr>
                <w:rFonts w:ascii="Arial" w:hAnsi="Arial" w:cs="Arial"/>
                <w:b/>
                <w:sz w:val="18"/>
              </w:rPr>
              <w:t>GRW-C</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171"/>
              <w:jc w:val="center"/>
              <w:rPr>
                <w:rFonts w:ascii="Arial" w:hAnsi="Arial" w:cs="Arial"/>
                <w:b/>
                <w:sz w:val="18"/>
              </w:rPr>
            </w:pPr>
            <w:r w:rsidRPr="000A4228">
              <w:rPr>
                <w:rFonts w:ascii="Arial" w:hAnsi="Arial" w:cs="Arial"/>
                <w:b/>
                <w:sz w:val="18"/>
              </w:rPr>
              <w:t>GRW-C</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166"/>
              <w:jc w:val="center"/>
              <w:rPr>
                <w:rFonts w:ascii="Arial" w:hAnsi="Arial" w:cs="Arial"/>
                <w:b/>
                <w:sz w:val="18"/>
              </w:rPr>
            </w:pPr>
            <w:r w:rsidRPr="000A4228">
              <w:rPr>
                <w:rFonts w:ascii="Arial" w:hAnsi="Arial" w:cs="Arial"/>
                <w:b/>
                <w:sz w:val="18"/>
              </w:rPr>
              <w:t>GRW-D</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166"/>
              <w:jc w:val="center"/>
              <w:rPr>
                <w:rFonts w:ascii="Arial" w:hAnsi="Arial" w:cs="Arial"/>
                <w:b/>
                <w:sz w:val="18"/>
              </w:rPr>
            </w:pPr>
            <w:r w:rsidRPr="000A4228">
              <w:rPr>
                <w:rFonts w:ascii="Arial" w:hAnsi="Arial" w:cs="Arial"/>
                <w:b/>
                <w:sz w:val="18"/>
              </w:rPr>
              <w:t>GRW-D</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line="225" w:lineRule="exact"/>
              <w:ind w:left="166"/>
              <w:jc w:val="center"/>
              <w:rPr>
                <w:rFonts w:ascii="Arial" w:hAnsi="Arial" w:cs="Arial"/>
                <w:b/>
                <w:sz w:val="18"/>
              </w:rPr>
            </w:pPr>
            <w:r w:rsidRPr="000A4228">
              <w:rPr>
                <w:rFonts w:ascii="Arial" w:hAnsi="Arial" w:cs="Arial"/>
                <w:b/>
                <w:sz w:val="18"/>
              </w:rPr>
              <w:t>GRW-D</w:t>
            </w:r>
          </w:p>
        </w:tc>
        <w:tc>
          <w:tcPr>
            <w:tcW w:w="0" w:type="auto"/>
            <w:vMerge w:val="restart"/>
            <w:tcBorders>
              <w:left w:val="single" w:sz="4" w:space="0" w:color="auto"/>
            </w:tcBorders>
            <w:vAlign w:val="center"/>
          </w:tcPr>
          <w:p w:rsidR="00EB15A8" w:rsidRPr="000A4228" w:rsidRDefault="00EB15A8" w:rsidP="00EB15A8">
            <w:pPr>
              <w:pStyle w:val="TableParagraph"/>
              <w:jc w:val="center"/>
              <w:rPr>
                <w:rFonts w:ascii="Arial" w:hAnsi="Arial" w:cs="Arial"/>
                <w:sz w:val="18"/>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r w:rsidRPr="000A4228">
              <w:rPr>
                <w:rFonts w:ascii="Arial" w:hAnsi="Arial" w:cs="Arial"/>
                <w:sz w:val="18"/>
              </w:rPr>
              <w:t>in %</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ind w:left="722" w:hanging="722"/>
              <w:jc w:val="center"/>
              <w:rPr>
                <w:rFonts w:ascii="Arial" w:hAnsi="Arial" w:cs="Arial"/>
                <w:b/>
                <w:sz w:val="18"/>
              </w:rPr>
            </w:pPr>
            <w:r w:rsidRPr="000A4228">
              <w:rPr>
                <w:rFonts w:ascii="Arial" w:hAnsi="Arial" w:cs="Arial"/>
                <w:b/>
                <w:sz w:val="18"/>
              </w:rPr>
              <w:t>Ofr</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327"/>
              <w:jc w:val="center"/>
              <w:rPr>
                <w:rFonts w:ascii="Arial" w:hAnsi="Arial" w:cs="Arial"/>
                <w:b/>
                <w:sz w:val="18"/>
              </w:rPr>
            </w:pPr>
            <w:r w:rsidRPr="000A4228">
              <w:rPr>
                <w:rFonts w:ascii="Arial" w:hAnsi="Arial" w:cs="Arial"/>
                <w:b/>
                <w:sz w:val="18"/>
              </w:rPr>
              <w:t>Opf</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303"/>
              <w:jc w:val="center"/>
              <w:rPr>
                <w:rFonts w:ascii="Arial" w:hAnsi="Arial" w:cs="Arial"/>
                <w:b/>
                <w:sz w:val="18"/>
              </w:rPr>
            </w:pPr>
            <w:r w:rsidRPr="000A4228">
              <w:rPr>
                <w:rFonts w:ascii="Arial" w:hAnsi="Arial" w:cs="Arial"/>
                <w:b/>
                <w:sz w:val="18"/>
              </w:rPr>
              <w:t>Ndb</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353"/>
              <w:jc w:val="center"/>
              <w:rPr>
                <w:rFonts w:ascii="Arial" w:hAnsi="Arial" w:cs="Arial"/>
                <w:b/>
                <w:sz w:val="18"/>
              </w:rPr>
            </w:pPr>
            <w:r w:rsidRPr="000A4228">
              <w:rPr>
                <w:rFonts w:ascii="Arial" w:hAnsi="Arial" w:cs="Arial"/>
                <w:b/>
                <w:sz w:val="18"/>
              </w:rPr>
              <w:t>Ofr</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334"/>
              <w:jc w:val="center"/>
              <w:rPr>
                <w:rFonts w:ascii="Arial" w:hAnsi="Arial" w:cs="Arial"/>
                <w:b/>
                <w:sz w:val="18"/>
              </w:rPr>
            </w:pPr>
            <w:r w:rsidRPr="000A4228">
              <w:rPr>
                <w:rFonts w:ascii="Arial" w:hAnsi="Arial" w:cs="Arial"/>
                <w:b/>
                <w:sz w:val="18"/>
              </w:rPr>
              <w:t>Opf</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310"/>
              <w:jc w:val="center"/>
              <w:rPr>
                <w:rFonts w:ascii="Arial" w:hAnsi="Arial" w:cs="Arial"/>
                <w:b/>
                <w:sz w:val="18"/>
              </w:rPr>
            </w:pPr>
            <w:r w:rsidRPr="000A4228">
              <w:rPr>
                <w:rFonts w:ascii="Arial" w:hAnsi="Arial" w:cs="Arial"/>
                <w:b/>
                <w:sz w:val="18"/>
              </w:rPr>
              <w:t>Ndb</w:t>
            </w:r>
          </w:p>
        </w:tc>
        <w:tc>
          <w:tcPr>
            <w:tcW w:w="0" w:type="auto"/>
            <w:vMerge/>
            <w:tcBorders>
              <w:top w:val="nil"/>
              <w:left w:val="single" w:sz="4" w:space="0" w:color="auto"/>
            </w:tcBorders>
            <w:vAlign w:val="center"/>
          </w:tcPr>
          <w:p w:rsidR="00EB15A8" w:rsidRPr="000A4228" w:rsidRDefault="00EB15A8" w:rsidP="00EB15A8">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firstLine="0"/>
              <w:jc w:val="center"/>
              <w:rPr>
                <w:rFonts w:ascii="Arial" w:hAnsi="Arial" w:cs="Arial"/>
                <w:sz w:val="18"/>
              </w:rPr>
            </w:pPr>
            <w:r w:rsidRPr="000A4228">
              <w:rPr>
                <w:rFonts w:ascii="Arial" w:hAnsi="Arial" w:cs="Arial"/>
                <w:b/>
                <w:sz w:val="18"/>
              </w:rPr>
              <w:t>2020</w:t>
            </w:r>
            <w:r w:rsidRPr="000A4228">
              <w:rPr>
                <w:rFonts w:ascii="Arial" w:hAnsi="Arial" w:cs="Arial"/>
                <w:b/>
                <w:sz w:val="18"/>
              </w:rPr>
              <w:tab/>
            </w:r>
            <w:r w:rsidRPr="000A4228">
              <w:rPr>
                <w:rFonts w:ascii="Arial" w:hAnsi="Arial" w:cs="Arial"/>
                <w:sz w:val="18"/>
              </w:rPr>
              <w:t>24,39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25,08</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22,54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18,75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18,43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19,65</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20" w:hanging="120"/>
              <w:jc w:val="center"/>
              <w:rPr>
                <w:rFonts w:ascii="Arial" w:hAnsi="Arial" w:cs="Arial"/>
                <w:sz w:val="18"/>
              </w:rPr>
            </w:pPr>
            <w:r w:rsidRPr="000A4228">
              <w:rPr>
                <w:rFonts w:ascii="Arial" w:hAnsi="Arial" w:cs="Arial"/>
                <w:b/>
                <w:sz w:val="18"/>
              </w:rPr>
              <w:t>2019</w:t>
            </w:r>
            <w:r w:rsidRPr="000A4228">
              <w:rPr>
                <w:rFonts w:ascii="Arial" w:hAnsi="Arial" w:cs="Arial"/>
                <w:b/>
                <w:sz w:val="18"/>
              </w:rPr>
              <w:tab/>
            </w:r>
            <w:r w:rsidRPr="000A4228">
              <w:rPr>
                <w:rFonts w:ascii="Arial" w:hAnsi="Arial" w:cs="Arial"/>
                <w:sz w:val="18"/>
              </w:rPr>
              <w:t>16,04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19,14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22,51</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11,25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15,68</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19,74</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20" w:hanging="120"/>
              <w:jc w:val="center"/>
              <w:rPr>
                <w:rFonts w:ascii="Arial" w:hAnsi="Arial" w:cs="Arial"/>
                <w:sz w:val="18"/>
              </w:rPr>
            </w:pPr>
            <w:r w:rsidRPr="000A4228">
              <w:rPr>
                <w:rFonts w:ascii="Arial" w:hAnsi="Arial" w:cs="Arial"/>
                <w:b/>
                <w:sz w:val="18"/>
              </w:rPr>
              <w:t>2018</w:t>
            </w:r>
            <w:r w:rsidRPr="000A4228">
              <w:rPr>
                <w:rFonts w:ascii="Arial" w:hAnsi="Arial" w:cs="Arial"/>
                <w:b/>
                <w:sz w:val="18"/>
              </w:rPr>
              <w:tab/>
            </w:r>
            <w:r w:rsidRPr="000A4228">
              <w:rPr>
                <w:rFonts w:ascii="Arial" w:hAnsi="Arial" w:cs="Arial"/>
                <w:sz w:val="18"/>
              </w:rPr>
              <w:t>17,39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22,69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22,24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11,05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14,26</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14,16</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20" w:hanging="120"/>
              <w:jc w:val="center"/>
              <w:rPr>
                <w:rFonts w:ascii="Arial" w:hAnsi="Arial" w:cs="Arial"/>
                <w:sz w:val="18"/>
              </w:rPr>
            </w:pPr>
            <w:r w:rsidRPr="000A4228">
              <w:rPr>
                <w:rFonts w:ascii="Arial" w:hAnsi="Arial" w:cs="Arial"/>
                <w:b/>
                <w:sz w:val="18"/>
              </w:rPr>
              <w:t>2017</w:t>
            </w:r>
            <w:r w:rsidRPr="000A4228">
              <w:rPr>
                <w:rFonts w:ascii="Arial" w:hAnsi="Arial" w:cs="Arial"/>
                <w:b/>
                <w:sz w:val="18"/>
              </w:rPr>
              <w:tab/>
            </w:r>
            <w:r w:rsidRPr="000A4228">
              <w:rPr>
                <w:rFonts w:ascii="Arial" w:hAnsi="Arial" w:cs="Arial"/>
                <w:sz w:val="18"/>
              </w:rPr>
              <w:t>24,17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22,13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26,97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10,23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3"/>
              <w:jc w:val="both"/>
              <w:rPr>
                <w:rFonts w:ascii="Arial" w:hAnsi="Arial" w:cs="Arial"/>
                <w:sz w:val="18"/>
              </w:rPr>
            </w:pPr>
            <w:r w:rsidRPr="000A4228">
              <w:rPr>
                <w:rFonts w:ascii="Arial" w:hAnsi="Arial" w:cs="Arial"/>
                <w:sz w:val="18"/>
              </w:rPr>
              <w:t>20,00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19,51</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20" w:hanging="120"/>
              <w:jc w:val="center"/>
              <w:rPr>
                <w:rFonts w:ascii="Arial" w:hAnsi="Arial" w:cs="Arial"/>
                <w:sz w:val="18"/>
              </w:rPr>
            </w:pPr>
            <w:r w:rsidRPr="000A4228">
              <w:rPr>
                <w:rFonts w:ascii="Arial" w:hAnsi="Arial" w:cs="Arial"/>
                <w:b/>
                <w:sz w:val="18"/>
              </w:rPr>
              <w:t>2016</w:t>
            </w:r>
            <w:r w:rsidRPr="000A4228">
              <w:rPr>
                <w:rFonts w:ascii="Arial" w:hAnsi="Arial" w:cs="Arial"/>
                <w:b/>
                <w:sz w:val="18"/>
              </w:rPr>
              <w:tab/>
            </w:r>
            <w:r w:rsidRPr="000A4228">
              <w:rPr>
                <w:rFonts w:ascii="Arial" w:hAnsi="Arial" w:cs="Arial"/>
                <w:sz w:val="18"/>
              </w:rPr>
              <w:t>19,59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23,62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24,09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15,22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6"/>
              <w:jc w:val="both"/>
              <w:rPr>
                <w:rFonts w:ascii="Arial" w:hAnsi="Arial" w:cs="Arial"/>
                <w:sz w:val="18"/>
              </w:rPr>
            </w:pPr>
            <w:r w:rsidRPr="000A4228">
              <w:rPr>
                <w:rFonts w:ascii="Arial" w:hAnsi="Arial" w:cs="Arial"/>
                <w:sz w:val="18"/>
              </w:rPr>
              <w:t>9,18</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19,72</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0" w:firstLine="11"/>
              <w:jc w:val="center"/>
              <w:rPr>
                <w:rFonts w:ascii="Arial" w:hAnsi="Arial" w:cs="Arial"/>
                <w:sz w:val="18"/>
              </w:rPr>
            </w:pPr>
            <w:r w:rsidRPr="000A4228">
              <w:rPr>
                <w:rFonts w:ascii="Arial" w:hAnsi="Arial" w:cs="Arial"/>
                <w:b/>
                <w:sz w:val="18"/>
              </w:rPr>
              <w:t>2015</w:t>
            </w:r>
            <w:r w:rsidRPr="000A4228">
              <w:rPr>
                <w:rFonts w:ascii="Arial" w:hAnsi="Arial" w:cs="Arial"/>
                <w:b/>
                <w:sz w:val="18"/>
              </w:rPr>
              <w:tab/>
            </w:r>
            <w:r w:rsidRPr="000A4228">
              <w:rPr>
                <w:rFonts w:ascii="Arial" w:hAnsi="Arial" w:cs="Arial"/>
                <w:sz w:val="18"/>
              </w:rPr>
              <w:t>16,57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17,47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26,06</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10,53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13,69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19,74</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r w:rsidR="004E2593" w:rsidRPr="000A4228" w:rsidTr="000A4228">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431"/>
                <w:tab w:val="left" w:pos="1712"/>
              </w:tabs>
              <w:ind w:left="-129" w:right="-1420" w:hanging="1276"/>
              <w:jc w:val="center"/>
              <w:rPr>
                <w:rFonts w:ascii="Arial" w:hAnsi="Arial" w:cs="Arial"/>
                <w:sz w:val="18"/>
              </w:rPr>
            </w:pPr>
            <w:r w:rsidRPr="000A4228">
              <w:rPr>
                <w:rFonts w:ascii="Arial" w:hAnsi="Arial" w:cs="Arial"/>
                <w:b/>
                <w:sz w:val="18"/>
              </w:rPr>
              <w:t>2014</w:t>
            </w:r>
            <w:r w:rsidRPr="000A4228">
              <w:rPr>
                <w:rFonts w:ascii="Arial" w:hAnsi="Arial" w:cs="Arial"/>
                <w:b/>
                <w:sz w:val="18"/>
              </w:rPr>
              <w:tab/>
            </w:r>
            <w:r w:rsidRPr="000A4228">
              <w:rPr>
                <w:rFonts w:ascii="Arial" w:hAnsi="Arial" w:cs="Arial"/>
                <w:sz w:val="18"/>
              </w:rPr>
              <w:t>27,40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both"/>
              <w:rPr>
                <w:rFonts w:ascii="Arial" w:hAnsi="Arial" w:cs="Arial"/>
                <w:sz w:val="18"/>
              </w:rPr>
            </w:pPr>
            <w:r w:rsidRPr="000A4228">
              <w:rPr>
                <w:rFonts w:ascii="Arial" w:hAnsi="Arial" w:cs="Arial"/>
                <w:sz w:val="18"/>
              </w:rPr>
              <w:t>17,27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24,64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24,64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both"/>
              <w:rPr>
                <w:rFonts w:ascii="Arial" w:hAnsi="Arial" w:cs="Arial"/>
                <w:sz w:val="18"/>
              </w:rPr>
            </w:pPr>
            <w:r w:rsidRPr="000A4228">
              <w:rPr>
                <w:rFonts w:ascii="Arial" w:hAnsi="Arial" w:cs="Arial"/>
                <w:sz w:val="18"/>
              </w:rPr>
              <w:t>17,84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both"/>
              <w:rPr>
                <w:rFonts w:ascii="Arial" w:hAnsi="Arial" w:cs="Arial"/>
                <w:sz w:val="18"/>
              </w:rPr>
            </w:pPr>
            <w:r w:rsidRPr="000A4228">
              <w:rPr>
                <w:rFonts w:ascii="Arial" w:hAnsi="Arial" w:cs="Arial"/>
                <w:sz w:val="18"/>
              </w:rPr>
              <w:t>19,25</w:t>
            </w:r>
          </w:p>
        </w:tc>
        <w:tc>
          <w:tcPr>
            <w:tcW w:w="0" w:type="auto"/>
            <w:vMerge/>
            <w:tcBorders>
              <w:top w:val="nil"/>
              <w:left w:val="single" w:sz="4" w:space="0" w:color="auto"/>
            </w:tcBorders>
            <w:vAlign w:val="center"/>
          </w:tcPr>
          <w:p w:rsidR="00EB15A8" w:rsidRPr="000A4228" w:rsidRDefault="00EB15A8" w:rsidP="00E20373">
            <w:pPr>
              <w:jc w:val="center"/>
              <w:rPr>
                <w:rFonts w:cs="Arial"/>
                <w:sz w:val="18"/>
                <w:szCs w:val="2"/>
              </w:rPr>
            </w:pPr>
          </w:p>
        </w:tc>
      </w:tr>
    </w:tbl>
    <w:p w:rsidR="004E2593" w:rsidRDefault="004E2593"/>
    <w:tbl>
      <w:tblPr>
        <w:tblStyle w:val="TableNormal"/>
        <w:tblW w:w="0" w:type="auto"/>
        <w:tblInd w:w="265" w:type="dxa"/>
        <w:tblLook w:val="01E0" w:firstRow="1" w:lastRow="1" w:firstColumn="1" w:lastColumn="1" w:noHBand="0" w:noVBand="0"/>
      </w:tblPr>
      <w:tblGrid>
        <w:gridCol w:w="422"/>
        <w:gridCol w:w="1860"/>
        <w:gridCol w:w="850"/>
        <w:gridCol w:w="732"/>
        <w:gridCol w:w="732"/>
        <w:gridCol w:w="804"/>
        <w:gridCol w:w="851"/>
        <w:gridCol w:w="716"/>
      </w:tblGrid>
      <w:tr w:rsidR="00EB15A8" w:rsidRPr="000A4228" w:rsidTr="00B51491">
        <w:trPr>
          <w:trHeight w:val="197"/>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b/>
                <w:sz w:val="18"/>
              </w:rPr>
            </w:pPr>
          </w:p>
          <w:p w:rsidR="00EB15A8" w:rsidRPr="000A4228" w:rsidRDefault="00EB15A8" w:rsidP="00EB15A8">
            <w:pPr>
              <w:pStyle w:val="TableParagraph"/>
              <w:spacing w:before="193"/>
              <w:ind w:left="251" w:hanging="482"/>
              <w:jc w:val="right"/>
              <w:rPr>
                <w:rFonts w:ascii="Arial" w:hAnsi="Arial" w:cs="Arial"/>
                <w:sz w:val="18"/>
              </w:rPr>
            </w:pPr>
            <w:r w:rsidRPr="000A4228">
              <w:rPr>
                <w:rFonts w:ascii="Arial" w:hAnsi="Arial" w:cs="Arial"/>
                <w:sz w:val="18"/>
              </w:rPr>
              <w:t>in %</w:t>
            </w: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14" w:line="300" w:lineRule="atLeast"/>
              <w:ind w:left="1087" w:right="177" w:hanging="790"/>
              <w:rPr>
                <w:rFonts w:ascii="Arial" w:hAnsi="Arial" w:cs="Arial"/>
                <w:b/>
                <w:sz w:val="18"/>
              </w:rPr>
            </w:pPr>
            <w:r w:rsidRPr="000A4228">
              <w:rPr>
                <w:rFonts w:ascii="Arial" w:hAnsi="Arial" w:cs="Arial"/>
                <w:b/>
                <w:sz w:val="18"/>
              </w:rPr>
              <w:t>Nicht-GRW Ofr</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327"/>
              <w:jc w:val="center"/>
              <w:rPr>
                <w:rFonts w:ascii="Arial" w:hAnsi="Arial" w:cs="Arial"/>
                <w:b/>
                <w:sz w:val="18"/>
              </w:rPr>
            </w:pPr>
            <w:r w:rsidRPr="000A4228">
              <w:rPr>
                <w:rFonts w:ascii="Arial" w:hAnsi="Arial" w:cs="Arial"/>
                <w:b/>
                <w:sz w:val="18"/>
              </w:rPr>
              <w:t>Opf</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303"/>
              <w:jc w:val="center"/>
              <w:rPr>
                <w:rFonts w:ascii="Arial" w:hAnsi="Arial" w:cs="Arial"/>
                <w:b/>
                <w:sz w:val="18"/>
              </w:rPr>
            </w:pPr>
            <w:r w:rsidRPr="000A4228">
              <w:rPr>
                <w:rFonts w:ascii="Arial" w:hAnsi="Arial" w:cs="Arial"/>
                <w:b/>
                <w:sz w:val="18"/>
              </w:rPr>
              <w:t>Ndb</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355"/>
              <w:jc w:val="center"/>
              <w:rPr>
                <w:rFonts w:ascii="Arial" w:hAnsi="Arial" w:cs="Arial"/>
                <w:b/>
                <w:sz w:val="18"/>
              </w:rPr>
            </w:pPr>
            <w:r w:rsidRPr="000A4228">
              <w:rPr>
                <w:rFonts w:ascii="Arial" w:hAnsi="Arial" w:cs="Arial"/>
                <w:b/>
                <w:sz w:val="18"/>
              </w:rPr>
              <w:t>Ufr</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331"/>
              <w:jc w:val="center"/>
              <w:rPr>
                <w:rFonts w:ascii="Arial" w:hAnsi="Arial" w:cs="Arial"/>
                <w:b/>
                <w:sz w:val="18"/>
              </w:rPr>
            </w:pPr>
            <w:r w:rsidRPr="000A4228">
              <w:rPr>
                <w:rFonts w:ascii="Arial" w:hAnsi="Arial" w:cs="Arial"/>
                <w:b/>
                <w:sz w:val="18"/>
              </w:rPr>
              <w:t>Mfr</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262"/>
              <w:jc w:val="center"/>
              <w:rPr>
                <w:rFonts w:ascii="Arial" w:hAnsi="Arial" w:cs="Arial"/>
                <w:b/>
                <w:sz w:val="18"/>
              </w:rPr>
            </w:pPr>
            <w:r w:rsidRPr="000A4228">
              <w:rPr>
                <w:rFonts w:ascii="Arial" w:hAnsi="Arial" w:cs="Arial"/>
                <w:b/>
                <w:sz w:val="18"/>
              </w:rPr>
              <w:t>Schw</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spacing w:before="193"/>
              <w:ind w:left="238"/>
              <w:jc w:val="center"/>
              <w:rPr>
                <w:rFonts w:ascii="Arial" w:hAnsi="Arial" w:cs="Arial"/>
                <w:b/>
                <w:sz w:val="18"/>
              </w:rPr>
            </w:pPr>
            <w:r w:rsidRPr="000A4228">
              <w:rPr>
                <w:rFonts w:ascii="Arial" w:hAnsi="Arial" w:cs="Arial"/>
                <w:b/>
                <w:sz w:val="18"/>
              </w:rPr>
              <w:t>Obb</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hanging="13"/>
              <w:rPr>
                <w:rFonts w:ascii="Arial" w:hAnsi="Arial" w:cs="Arial"/>
                <w:sz w:val="18"/>
              </w:rPr>
            </w:pPr>
            <w:r w:rsidRPr="000A4228">
              <w:rPr>
                <w:rFonts w:ascii="Arial" w:hAnsi="Arial" w:cs="Arial"/>
                <w:b/>
                <w:sz w:val="18"/>
              </w:rPr>
              <w:t>2020</w:t>
            </w:r>
            <w:r w:rsidRPr="000A4228">
              <w:rPr>
                <w:rFonts w:ascii="Arial" w:hAnsi="Arial" w:cs="Arial"/>
                <w:b/>
                <w:sz w:val="18"/>
              </w:rPr>
              <w:tab/>
            </w:r>
            <w:r w:rsidRPr="000A4228">
              <w:rPr>
                <w:rFonts w:ascii="Arial" w:hAnsi="Arial" w:cs="Arial"/>
                <w:sz w:val="18"/>
              </w:rPr>
              <w:t>15,80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14,29</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16,94</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15,95</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14,82</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14,60</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10,78</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377"/>
              </w:tabs>
              <w:ind w:left="13" w:hanging="13"/>
              <w:rPr>
                <w:rFonts w:ascii="Arial" w:hAnsi="Arial" w:cs="Arial"/>
                <w:sz w:val="18"/>
              </w:rPr>
            </w:pPr>
            <w:r w:rsidRPr="000A4228">
              <w:rPr>
                <w:rFonts w:ascii="Arial" w:hAnsi="Arial" w:cs="Arial"/>
                <w:b/>
                <w:sz w:val="18"/>
              </w:rPr>
              <w:t>2019</w:t>
            </w:r>
            <w:r w:rsidRPr="000A4228">
              <w:rPr>
                <w:rFonts w:ascii="Arial" w:hAnsi="Arial" w:cs="Arial"/>
                <w:b/>
                <w:sz w:val="18"/>
              </w:rPr>
              <w:tab/>
            </w:r>
            <w:r w:rsidRPr="000A4228">
              <w:rPr>
                <w:rFonts w:ascii="Arial" w:hAnsi="Arial" w:cs="Arial"/>
                <w:sz w:val="18"/>
              </w:rPr>
              <w:t>8,85</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13,31</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13,60</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16,13</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11,99</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10,42</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9,67</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ind w:left="251" w:hanging="482"/>
              <w:jc w:val="right"/>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hanging="13"/>
              <w:rPr>
                <w:rFonts w:ascii="Arial" w:hAnsi="Arial" w:cs="Arial"/>
                <w:sz w:val="18"/>
              </w:rPr>
            </w:pPr>
            <w:r w:rsidRPr="000A4228">
              <w:rPr>
                <w:rFonts w:ascii="Arial" w:hAnsi="Arial" w:cs="Arial"/>
                <w:b/>
                <w:sz w:val="18"/>
              </w:rPr>
              <w:t>2018</w:t>
            </w:r>
            <w:r w:rsidRPr="000A4228">
              <w:rPr>
                <w:rFonts w:ascii="Arial" w:hAnsi="Arial" w:cs="Arial"/>
                <w:b/>
                <w:sz w:val="18"/>
              </w:rPr>
              <w:tab/>
            </w:r>
            <w:r w:rsidRPr="000A4228">
              <w:rPr>
                <w:rFonts w:ascii="Arial" w:hAnsi="Arial" w:cs="Arial"/>
                <w:sz w:val="18"/>
              </w:rPr>
              <w:t>12,46</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13,25</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15,76</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3"/>
              <w:jc w:val="center"/>
              <w:rPr>
                <w:rFonts w:ascii="Arial" w:hAnsi="Arial" w:cs="Arial"/>
                <w:sz w:val="18"/>
              </w:rPr>
            </w:pPr>
            <w:r w:rsidRPr="000A4228">
              <w:rPr>
                <w:rFonts w:ascii="Arial" w:hAnsi="Arial" w:cs="Arial"/>
                <w:sz w:val="18"/>
              </w:rPr>
              <w:t>9,60</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10,80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11,15</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11,28</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hanging="13"/>
              <w:rPr>
                <w:rFonts w:ascii="Arial" w:hAnsi="Arial" w:cs="Arial"/>
                <w:sz w:val="18"/>
              </w:rPr>
            </w:pPr>
            <w:r w:rsidRPr="000A4228">
              <w:rPr>
                <w:rFonts w:ascii="Arial" w:hAnsi="Arial" w:cs="Arial"/>
                <w:b/>
                <w:sz w:val="18"/>
              </w:rPr>
              <w:t>2017</w:t>
            </w:r>
            <w:r w:rsidRPr="000A4228">
              <w:rPr>
                <w:rFonts w:ascii="Arial" w:hAnsi="Arial" w:cs="Arial"/>
                <w:b/>
                <w:sz w:val="18"/>
              </w:rPr>
              <w:tab/>
            </w:r>
            <w:r w:rsidRPr="000A4228">
              <w:rPr>
                <w:rFonts w:ascii="Arial" w:hAnsi="Arial" w:cs="Arial"/>
                <w:sz w:val="18"/>
              </w:rPr>
              <w:t>12,78</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13,03</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11,00</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15,11</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12,42</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9,35</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11,87</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hanging="13"/>
              <w:rPr>
                <w:rFonts w:ascii="Arial" w:hAnsi="Arial" w:cs="Arial"/>
                <w:sz w:val="18"/>
              </w:rPr>
            </w:pPr>
            <w:r w:rsidRPr="000A4228">
              <w:rPr>
                <w:rFonts w:ascii="Arial" w:hAnsi="Arial" w:cs="Arial"/>
                <w:b/>
                <w:sz w:val="18"/>
              </w:rPr>
              <w:t>2016</w:t>
            </w:r>
            <w:r w:rsidRPr="000A4228">
              <w:rPr>
                <w:rFonts w:ascii="Arial" w:hAnsi="Arial" w:cs="Arial"/>
                <w:b/>
                <w:sz w:val="18"/>
              </w:rPr>
              <w:tab/>
            </w:r>
            <w:r w:rsidRPr="000A4228">
              <w:rPr>
                <w:rFonts w:ascii="Arial" w:hAnsi="Arial" w:cs="Arial"/>
                <w:sz w:val="18"/>
              </w:rPr>
              <w:t>12,24</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10,95</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12,23</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12,16</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12,53</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10,30</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14,60</w:t>
            </w:r>
          </w:p>
        </w:tc>
      </w:tr>
      <w:tr w:rsidR="00EB15A8" w:rsidRPr="000A4228" w:rsidTr="00B5149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265"/>
              </w:tabs>
              <w:ind w:left="13" w:hanging="13"/>
              <w:rPr>
                <w:rFonts w:ascii="Arial" w:hAnsi="Arial" w:cs="Arial"/>
                <w:sz w:val="18"/>
              </w:rPr>
            </w:pPr>
            <w:r w:rsidRPr="000A4228">
              <w:rPr>
                <w:rFonts w:ascii="Arial" w:hAnsi="Arial" w:cs="Arial"/>
                <w:b/>
                <w:sz w:val="18"/>
              </w:rPr>
              <w:t>2015</w:t>
            </w:r>
            <w:r w:rsidRPr="000A4228">
              <w:rPr>
                <w:rFonts w:ascii="Arial" w:hAnsi="Arial" w:cs="Arial"/>
                <w:b/>
                <w:sz w:val="18"/>
              </w:rPr>
              <w:tab/>
            </w:r>
            <w:r w:rsidRPr="000A4228">
              <w:rPr>
                <w:rFonts w:ascii="Arial" w:hAnsi="Arial" w:cs="Arial"/>
                <w:sz w:val="18"/>
              </w:rPr>
              <w:t>10,14</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70"/>
              <w:jc w:val="center"/>
              <w:rPr>
                <w:rFonts w:ascii="Arial" w:hAnsi="Arial" w:cs="Arial"/>
                <w:sz w:val="18"/>
              </w:rPr>
            </w:pPr>
            <w:r w:rsidRPr="000A4228">
              <w:rPr>
                <w:rFonts w:ascii="Arial" w:hAnsi="Arial" w:cs="Arial"/>
                <w:sz w:val="18"/>
              </w:rPr>
              <w:t>10,96</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15,43</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11,59</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164"/>
              <w:jc w:val="center"/>
              <w:rPr>
                <w:rFonts w:ascii="Arial" w:hAnsi="Arial" w:cs="Arial"/>
                <w:sz w:val="18"/>
              </w:rPr>
            </w:pPr>
            <w:r w:rsidRPr="000A4228">
              <w:rPr>
                <w:rFonts w:ascii="Arial" w:hAnsi="Arial" w:cs="Arial"/>
                <w:sz w:val="18"/>
              </w:rPr>
              <w:t>10,80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235"/>
              <w:jc w:val="center"/>
              <w:rPr>
                <w:rFonts w:ascii="Arial" w:hAnsi="Arial" w:cs="Arial"/>
                <w:sz w:val="18"/>
              </w:rPr>
            </w:pPr>
            <w:r w:rsidRPr="000A4228">
              <w:rPr>
                <w:rFonts w:ascii="Arial" w:hAnsi="Arial" w:cs="Arial"/>
                <w:sz w:val="18"/>
              </w:rPr>
              <w:t>13,52</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9" w:hanging="284"/>
              <w:jc w:val="center"/>
              <w:rPr>
                <w:rFonts w:ascii="Arial" w:hAnsi="Arial" w:cs="Arial"/>
                <w:sz w:val="18"/>
              </w:rPr>
            </w:pPr>
            <w:r w:rsidRPr="000A4228">
              <w:rPr>
                <w:rFonts w:ascii="Arial" w:hAnsi="Arial" w:cs="Arial"/>
                <w:sz w:val="18"/>
              </w:rPr>
              <w:t>9,96</w:t>
            </w:r>
          </w:p>
        </w:tc>
      </w:tr>
      <w:tr w:rsidR="00EB15A8" w:rsidRPr="000A4228" w:rsidTr="00B51491">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186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2D4019">
            <w:pPr>
              <w:pStyle w:val="TableParagraph"/>
              <w:tabs>
                <w:tab w:val="left" w:pos="1377"/>
              </w:tabs>
              <w:spacing w:line="240" w:lineRule="exact"/>
              <w:ind w:left="13" w:hanging="13"/>
              <w:rPr>
                <w:rFonts w:ascii="Arial" w:hAnsi="Arial" w:cs="Arial"/>
                <w:sz w:val="18"/>
              </w:rPr>
            </w:pPr>
            <w:r w:rsidRPr="000A4228">
              <w:rPr>
                <w:rFonts w:ascii="Arial" w:hAnsi="Arial" w:cs="Arial"/>
                <w:b/>
                <w:sz w:val="18"/>
              </w:rPr>
              <w:t>2014</w:t>
            </w:r>
            <w:r w:rsidRPr="000A4228">
              <w:rPr>
                <w:rFonts w:ascii="Arial" w:hAnsi="Arial" w:cs="Arial"/>
                <w:b/>
                <w:sz w:val="18"/>
              </w:rPr>
              <w:tab/>
            </w:r>
            <w:r w:rsidRPr="000A4228">
              <w:rPr>
                <w:rFonts w:ascii="Arial" w:hAnsi="Arial" w:cs="Arial"/>
                <w:sz w:val="18"/>
              </w:rPr>
              <w:t>9,61</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right="170"/>
              <w:jc w:val="center"/>
              <w:rPr>
                <w:rFonts w:ascii="Arial" w:hAnsi="Arial" w:cs="Arial"/>
                <w:sz w:val="18"/>
              </w:rPr>
            </w:pPr>
            <w:r w:rsidRPr="000A4228">
              <w:rPr>
                <w:rFonts w:ascii="Arial" w:hAnsi="Arial" w:cs="Arial"/>
                <w:sz w:val="18"/>
              </w:rPr>
              <w:t>13,04</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right="164"/>
              <w:jc w:val="center"/>
              <w:rPr>
                <w:rFonts w:ascii="Arial" w:hAnsi="Arial" w:cs="Arial"/>
                <w:sz w:val="18"/>
              </w:rPr>
            </w:pPr>
            <w:r w:rsidRPr="000A4228">
              <w:rPr>
                <w:rFonts w:ascii="Arial" w:hAnsi="Arial" w:cs="Arial"/>
                <w:sz w:val="18"/>
              </w:rPr>
              <w:t>11,57</w:t>
            </w:r>
          </w:p>
        </w:tc>
        <w:tc>
          <w:tcPr>
            <w:tcW w:w="73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right="164"/>
              <w:jc w:val="center"/>
              <w:rPr>
                <w:rFonts w:ascii="Arial" w:hAnsi="Arial" w:cs="Arial"/>
                <w:sz w:val="18"/>
              </w:rPr>
            </w:pPr>
            <w:r w:rsidRPr="000A4228">
              <w:rPr>
                <w:rFonts w:ascii="Arial" w:hAnsi="Arial" w:cs="Arial"/>
                <w:sz w:val="18"/>
              </w:rPr>
              <w:t>14,18</w:t>
            </w:r>
          </w:p>
        </w:tc>
        <w:tc>
          <w:tcPr>
            <w:tcW w:w="80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right="164"/>
              <w:jc w:val="center"/>
              <w:rPr>
                <w:rFonts w:ascii="Arial" w:hAnsi="Arial" w:cs="Arial"/>
                <w:sz w:val="18"/>
              </w:rPr>
            </w:pPr>
            <w:r w:rsidRPr="000A4228">
              <w:rPr>
                <w:rFonts w:ascii="Arial" w:hAnsi="Arial" w:cs="Arial"/>
                <w:sz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right="235"/>
              <w:jc w:val="center"/>
              <w:rPr>
                <w:rFonts w:ascii="Arial" w:hAnsi="Arial" w:cs="Arial"/>
                <w:sz w:val="18"/>
              </w:rPr>
            </w:pPr>
            <w:r w:rsidRPr="000A4228">
              <w:rPr>
                <w:rFonts w:ascii="Arial" w:hAnsi="Arial" w:cs="Arial"/>
                <w:sz w:val="18"/>
              </w:rPr>
              <w:t>13,59</w:t>
            </w:r>
          </w:p>
        </w:tc>
        <w:tc>
          <w:tcPr>
            <w:tcW w:w="7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139" w:hanging="284"/>
              <w:jc w:val="center"/>
              <w:rPr>
                <w:rFonts w:ascii="Arial" w:hAnsi="Arial" w:cs="Arial"/>
                <w:sz w:val="18"/>
              </w:rPr>
            </w:pPr>
            <w:r w:rsidRPr="000A4228">
              <w:rPr>
                <w:rFonts w:ascii="Arial" w:hAnsi="Arial" w:cs="Arial"/>
                <w:sz w:val="18"/>
              </w:rPr>
              <w:t>9,51</w:t>
            </w:r>
          </w:p>
        </w:tc>
      </w:tr>
    </w:tbl>
    <w:p w:rsidR="00EB15A8" w:rsidRPr="000A4228" w:rsidRDefault="00EB15A8" w:rsidP="00EB15A8">
      <w:pPr>
        <w:spacing w:before="1" w:line="268" w:lineRule="auto"/>
        <w:ind w:left="308" w:right="2746"/>
        <w:rPr>
          <w:rFonts w:cs="Arial"/>
          <w:sz w:val="24"/>
        </w:rPr>
      </w:pPr>
    </w:p>
    <w:p w:rsidR="00EB15A8" w:rsidRPr="004E2593" w:rsidRDefault="00EB15A8" w:rsidP="00EB15A8">
      <w:pPr>
        <w:spacing w:before="1" w:line="268" w:lineRule="auto"/>
        <w:ind w:left="308" w:right="2746"/>
        <w:rPr>
          <w:rFonts w:cs="Arial"/>
          <w:sz w:val="16"/>
        </w:rPr>
      </w:pPr>
      <w:r w:rsidRPr="004E2593">
        <w:rPr>
          <w:rFonts w:cs="Arial"/>
          <w:sz w:val="18"/>
        </w:rPr>
        <w:t xml:space="preserve">durchschnittliche Fördersätze als Ergebnis gewährter bestandskräftiger Bewilligungen Abfrage Stand </w:t>
      </w:r>
      <w:r w:rsidR="00822EE3" w:rsidRPr="004E2593">
        <w:rPr>
          <w:rFonts w:cs="Arial"/>
          <w:sz w:val="18"/>
        </w:rPr>
        <w:t>0</w:t>
      </w:r>
      <w:r w:rsidRPr="004E2593">
        <w:rPr>
          <w:rFonts w:cs="Arial"/>
          <w:sz w:val="18"/>
        </w:rPr>
        <w:t>5.07.2021</w:t>
      </w:r>
    </w:p>
    <w:p w:rsidR="00EB15A8" w:rsidRDefault="00EB15A8">
      <w:r>
        <w:br w:type="page"/>
      </w:r>
    </w:p>
    <w:p w:rsidR="00EB15A8" w:rsidRDefault="00EB15A8" w:rsidP="004E2F84">
      <w:pPr>
        <w:pStyle w:val="LTAntwortRessortText"/>
      </w:pPr>
    </w:p>
    <w:tbl>
      <w:tblPr>
        <w:tblStyle w:val="TableNormal"/>
        <w:tblW w:w="0" w:type="auto"/>
        <w:tblInd w:w="115" w:type="dxa"/>
        <w:tblLook w:val="01E0" w:firstRow="1" w:lastRow="1" w:firstColumn="1" w:lastColumn="1" w:noHBand="0" w:noVBand="0"/>
      </w:tblPr>
      <w:tblGrid>
        <w:gridCol w:w="579"/>
        <w:gridCol w:w="997"/>
        <w:gridCol w:w="964"/>
        <w:gridCol w:w="879"/>
        <w:gridCol w:w="1087"/>
        <w:gridCol w:w="898"/>
        <w:gridCol w:w="1056"/>
      </w:tblGrid>
      <w:tr w:rsidR="00EB15A8" w:rsidRPr="000A4228" w:rsidTr="001D3D21">
        <w:trPr>
          <w:trHeight w:val="260"/>
        </w:trPr>
        <w:tc>
          <w:tcPr>
            <w:tcW w:w="0" w:type="auto"/>
            <w:gridSpan w:val="7"/>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line="225" w:lineRule="exact"/>
              <w:ind w:left="200" w:hanging="178"/>
              <w:jc w:val="center"/>
              <w:rPr>
                <w:rFonts w:ascii="Arial" w:hAnsi="Arial" w:cs="Arial"/>
                <w:b/>
                <w:sz w:val="18"/>
              </w:rPr>
            </w:pPr>
            <w:r w:rsidRPr="000A4228">
              <w:rPr>
                <w:rFonts w:ascii="Arial" w:hAnsi="Arial" w:cs="Arial"/>
                <w:b/>
                <w:sz w:val="18"/>
              </w:rPr>
              <w:t>Kleine Unternehmen (bis 49 Mitarbeitende Vollzeitäquivalente)</w:t>
            </w:r>
          </w:p>
        </w:tc>
      </w:tr>
      <w:tr w:rsidR="00EB15A8" w:rsidRPr="000A4228" w:rsidTr="00165C98">
        <w:trPr>
          <w:trHeight w:val="315"/>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33" w:right="-185" w:hanging="179"/>
              <w:jc w:val="center"/>
              <w:rPr>
                <w:rFonts w:ascii="Arial" w:hAnsi="Arial" w:cs="Arial"/>
                <w:b/>
                <w:sz w:val="18"/>
              </w:rPr>
            </w:pPr>
            <w:r w:rsidRPr="000A4228">
              <w:rPr>
                <w:rFonts w:ascii="Arial" w:hAnsi="Arial" w:cs="Arial"/>
                <w:b/>
                <w:sz w:val="18"/>
              </w:rPr>
              <w:t>GRW-C</w:t>
            </w:r>
          </w:p>
        </w:tc>
        <w:tc>
          <w:tcPr>
            <w:tcW w:w="96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378"/>
              <w:jc w:val="center"/>
              <w:rPr>
                <w:rFonts w:ascii="Arial" w:hAnsi="Arial" w:cs="Arial"/>
                <w:b/>
                <w:sz w:val="18"/>
              </w:rPr>
            </w:pPr>
            <w:r w:rsidRPr="000A4228">
              <w:rPr>
                <w:rFonts w:ascii="Arial" w:hAnsi="Arial" w:cs="Arial"/>
                <w:b/>
                <w:sz w:val="18"/>
              </w:rPr>
              <w:t>GRW-C</w:t>
            </w:r>
          </w:p>
        </w:tc>
        <w:tc>
          <w:tcPr>
            <w:tcW w:w="8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190"/>
              <w:jc w:val="center"/>
              <w:rPr>
                <w:rFonts w:ascii="Arial" w:hAnsi="Arial" w:cs="Arial"/>
                <w:b/>
                <w:sz w:val="18"/>
              </w:rPr>
            </w:pPr>
            <w:r w:rsidRPr="000A4228">
              <w:rPr>
                <w:rFonts w:ascii="Arial" w:hAnsi="Arial" w:cs="Arial"/>
                <w:b/>
                <w:sz w:val="18"/>
              </w:rPr>
              <w:t>GRW-C</w:t>
            </w:r>
          </w:p>
        </w:tc>
        <w:tc>
          <w:tcPr>
            <w:tcW w:w="108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377"/>
              <w:jc w:val="center"/>
              <w:rPr>
                <w:rFonts w:ascii="Arial" w:hAnsi="Arial" w:cs="Arial"/>
                <w:b/>
                <w:sz w:val="18"/>
              </w:rPr>
            </w:pPr>
            <w:r w:rsidRPr="000A4228">
              <w:rPr>
                <w:rFonts w:ascii="Arial" w:hAnsi="Arial" w:cs="Arial"/>
                <w:b/>
                <w:sz w:val="18"/>
              </w:rPr>
              <w:t>GRW-C</w:t>
            </w:r>
          </w:p>
        </w:tc>
        <w:tc>
          <w:tcPr>
            <w:tcW w:w="898"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191"/>
              <w:jc w:val="center"/>
              <w:rPr>
                <w:rFonts w:ascii="Arial" w:hAnsi="Arial" w:cs="Arial"/>
                <w:b/>
                <w:sz w:val="18"/>
              </w:rPr>
            </w:pPr>
            <w:r w:rsidRPr="000A4228">
              <w:rPr>
                <w:rFonts w:ascii="Arial" w:hAnsi="Arial" w:cs="Arial"/>
                <w:b/>
                <w:sz w:val="18"/>
              </w:rPr>
              <w:t>GRW-C</w:t>
            </w:r>
          </w:p>
        </w:tc>
        <w:tc>
          <w:tcPr>
            <w:tcW w:w="105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C869DC">
            <w:pPr>
              <w:pStyle w:val="TableParagraph"/>
              <w:ind w:left="364"/>
              <w:jc w:val="center"/>
              <w:rPr>
                <w:rFonts w:ascii="Arial" w:hAnsi="Arial" w:cs="Arial"/>
                <w:b/>
                <w:sz w:val="18"/>
              </w:rPr>
            </w:pPr>
            <w:r w:rsidRPr="000A4228">
              <w:rPr>
                <w:rFonts w:ascii="Arial" w:hAnsi="Arial" w:cs="Arial"/>
                <w:b/>
                <w:sz w:val="18"/>
              </w:rPr>
              <w:t>GRW-C</w:t>
            </w:r>
          </w:p>
        </w:tc>
      </w:tr>
      <w:tr w:rsidR="00EB15A8" w:rsidRPr="000A4228" w:rsidTr="00165C98">
        <w:trPr>
          <w:trHeight w:val="584"/>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165C98">
            <w:pPr>
              <w:pStyle w:val="TableParagraph"/>
              <w:spacing w:before="4"/>
              <w:ind w:left="18" w:right="-295" w:hanging="18"/>
              <w:rPr>
                <w:rFonts w:ascii="Arial" w:hAnsi="Arial" w:cs="Arial"/>
                <w:sz w:val="18"/>
              </w:rPr>
            </w:pPr>
          </w:p>
          <w:p w:rsidR="00EB15A8" w:rsidRPr="000A4228" w:rsidRDefault="00EB15A8" w:rsidP="00165C98">
            <w:pPr>
              <w:pStyle w:val="TableParagraph"/>
              <w:ind w:left="18" w:right="-295" w:hanging="18"/>
              <w:rPr>
                <w:rFonts w:ascii="Arial" w:hAnsi="Arial" w:cs="Arial"/>
                <w:sz w:val="18"/>
              </w:rPr>
            </w:pPr>
            <w:r w:rsidRPr="000A4228">
              <w:rPr>
                <w:rFonts w:ascii="Arial" w:hAnsi="Arial" w:cs="Arial"/>
                <w:sz w:val="18"/>
              </w:rPr>
              <w:t>Anzahl</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143" w:hanging="143"/>
              <w:jc w:val="center"/>
              <w:rPr>
                <w:rFonts w:ascii="Arial" w:hAnsi="Arial" w:cs="Arial"/>
                <w:b/>
                <w:sz w:val="18"/>
              </w:rPr>
            </w:pPr>
            <w:r w:rsidRPr="000A4228">
              <w:rPr>
                <w:rFonts w:ascii="Arial" w:hAnsi="Arial" w:cs="Arial"/>
                <w:b/>
                <w:sz w:val="18"/>
              </w:rPr>
              <w:t>Ofr</w:t>
            </w:r>
          </w:p>
          <w:p w:rsidR="00EB15A8" w:rsidRPr="000A4228" w:rsidRDefault="00EB15A8" w:rsidP="00B51491">
            <w:pPr>
              <w:pStyle w:val="TableParagraph"/>
              <w:ind w:left="143" w:hanging="143"/>
              <w:jc w:val="center"/>
              <w:rPr>
                <w:rFonts w:ascii="Arial" w:hAnsi="Arial" w:cs="Arial"/>
                <w:b/>
                <w:sz w:val="18"/>
              </w:rPr>
            </w:pPr>
            <w:r w:rsidRPr="000A4228">
              <w:rPr>
                <w:rFonts w:ascii="Arial" w:hAnsi="Arial" w:cs="Arial"/>
                <w:b/>
                <w:sz w:val="18"/>
              </w:rPr>
              <w:t>(≥ 20 %)</w:t>
            </w:r>
          </w:p>
        </w:tc>
        <w:tc>
          <w:tcPr>
            <w:tcW w:w="964"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378"/>
              <w:jc w:val="center"/>
              <w:rPr>
                <w:rFonts w:ascii="Arial" w:hAnsi="Arial" w:cs="Arial"/>
                <w:b/>
                <w:sz w:val="18"/>
              </w:rPr>
            </w:pPr>
            <w:r w:rsidRPr="000A4228">
              <w:rPr>
                <w:rFonts w:ascii="Arial" w:hAnsi="Arial" w:cs="Arial"/>
                <w:b/>
                <w:sz w:val="18"/>
              </w:rPr>
              <w:t>Ofr</w:t>
            </w:r>
          </w:p>
          <w:p w:rsidR="00EB15A8" w:rsidRPr="000A4228" w:rsidRDefault="00EB15A8" w:rsidP="00165C98">
            <w:pPr>
              <w:pStyle w:val="TableParagraph"/>
              <w:ind w:left="287" w:hanging="190"/>
              <w:jc w:val="center"/>
              <w:rPr>
                <w:rFonts w:ascii="Arial" w:hAnsi="Arial" w:cs="Arial"/>
                <w:b/>
                <w:sz w:val="18"/>
              </w:rPr>
            </w:pPr>
            <w:r w:rsidRPr="000A4228">
              <w:rPr>
                <w:rFonts w:ascii="Arial" w:hAnsi="Arial" w:cs="Arial"/>
                <w:b/>
                <w:sz w:val="18"/>
              </w:rPr>
              <w:t>(kleiner 20 %)</w:t>
            </w:r>
          </w:p>
        </w:tc>
        <w:tc>
          <w:tcPr>
            <w:tcW w:w="8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190"/>
              <w:jc w:val="center"/>
              <w:rPr>
                <w:rFonts w:ascii="Arial" w:hAnsi="Arial" w:cs="Arial"/>
                <w:b/>
                <w:sz w:val="18"/>
              </w:rPr>
            </w:pPr>
            <w:r w:rsidRPr="000A4228">
              <w:rPr>
                <w:rFonts w:ascii="Arial" w:hAnsi="Arial" w:cs="Arial"/>
                <w:b/>
                <w:sz w:val="18"/>
              </w:rPr>
              <w:t>Opf</w:t>
            </w:r>
          </w:p>
          <w:p w:rsidR="00EB15A8" w:rsidRPr="000A4228" w:rsidRDefault="00EB15A8" w:rsidP="00B51491">
            <w:pPr>
              <w:pStyle w:val="TableParagraph"/>
              <w:ind w:left="190"/>
              <w:jc w:val="center"/>
              <w:rPr>
                <w:rFonts w:ascii="Arial" w:hAnsi="Arial" w:cs="Arial"/>
                <w:b/>
                <w:sz w:val="18"/>
              </w:rPr>
            </w:pPr>
            <w:r w:rsidRPr="000A4228">
              <w:rPr>
                <w:rFonts w:ascii="Arial" w:hAnsi="Arial" w:cs="Arial"/>
                <w:b/>
                <w:sz w:val="18"/>
              </w:rPr>
              <w:t>(≥ 20 %)</w:t>
            </w:r>
          </w:p>
        </w:tc>
        <w:tc>
          <w:tcPr>
            <w:tcW w:w="108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377"/>
              <w:jc w:val="center"/>
              <w:rPr>
                <w:rFonts w:ascii="Arial" w:hAnsi="Arial" w:cs="Arial"/>
                <w:b/>
                <w:sz w:val="18"/>
              </w:rPr>
            </w:pPr>
            <w:r w:rsidRPr="000A4228">
              <w:rPr>
                <w:rFonts w:ascii="Arial" w:hAnsi="Arial" w:cs="Arial"/>
                <w:b/>
                <w:sz w:val="18"/>
              </w:rPr>
              <w:t>Opf</w:t>
            </w:r>
          </w:p>
          <w:p w:rsidR="00EB15A8" w:rsidRPr="000A4228" w:rsidRDefault="00EB15A8" w:rsidP="00B51491">
            <w:pPr>
              <w:pStyle w:val="TableParagraph"/>
              <w:ind w:left="377"/>
              <w:jc w:val="center"/>
              <w:rPr>
                <w:rFonts w:ascii="Arial" w:hAnsi="Arial" w:cs="Arial"/>
                <w:b/>
                <w:sz w:val="18"/>
              </w:rPr>
            </w:pPr>
            <w:r w:rsidRPr="000A4228">
              <w:rPr>
                <w:rFonts w:ascii="Arial" w:hAnsi="Arial" w:cs="Arial"/>
                <w:b/>
                <w:sz w:val="18"/>
              </w:rPr>
              <w:t xml:space="preserve">(kleiner </w:t>
            </w:r>
            <w:r w:rsidR="00B51491">
              <w:rPr>
                <w:rFonts w:ascii="Arial" w:hAnsi="Arial" w:cs="Arial"/>
                <w:b/>
                <w:sz w:val="18"/>
              </w:rPr>
              <w:br/>
            </w:r>
            <w:r w:rsidRPr="000A4228">
              <w:rPr>
                <w:rFonts w:ascii="Arial" w:hAnsi="Arial" w:cs="Arial"/>
                <w:b/>
                <w:sz w:val="18"/>
              </w:rPr>
              <w:t>20 %)</w:t>
            </w:r>
          </w:p>
        </w:tc>
        <w:tc>
          <w:tcPr>
            <w:tcW w:w="898"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191"/>
              <w:jc w:val="center"/>
              <w:rPr>
                <w:rFonts w:ascii="Arial" w:hAnsi="Arial" w:cs="Arial"/>
                <w:b/>
                <w:sz w:val="18"/>
              </w:rPr>
            </w:pPr>
            <w:r w:rsidRPr="000A4228">
              <w:rPr>
                <w:rFonts w:ascii="Arial" w:hAnsi="Arial" w:cs="Arial"/>
                <w:b/>
                <w:sz w:val="18"/>
              </w:rPr>
              <w:t>Ndb</w:t>
            </w:r>
          </w:p>
          <w:p w:rsidR="00EB15A8" w:rsidRPr="000A4228" w:rsidRDefault="00EB15A8" w:rsidP="00B51491">
            <w:pPr>
              <w:pStyle w:val="TableParagraph"/>
              <w:ind w:left="191"/>
              <w:jc w:val="center"/>
              <w:rPr>
                <w:rFonts w:ascii="Arial" w:hAnsi="Arial" w:cs="Arial"/>
                <w:b/>
                <w:sz w:val="18"/>
              </w:rPr>
            </w:pPr>
            <w:r w:rsidRPr="000A4228">
              <w:rPr>
                <w:rFonts w:ascii="Arial" w:hAnsi="Arial" w:cs="Arial"/>
                <w:b/>
                <w:sz w:val="18"/>
              </w:rPr>
              <w:t>(≥ 20 %)</w:t>
            </w:r>
          </w:p>
        </w:tc>
        <w:tc>
          <w:tcPr>
            <w:tcW w:w="105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165C98">
            <w:pPr>
              <w:pStyle w:val="TableParagraph"/>
              <w:spacing w:before="11"/>
              <w:ind w:left="146" w:right="50" w:hanging="283"/>
              <w:jc w:val="center"/>
              <w:rPr>
                <w:rFonts w:ascii="Arial" w:hAnsi="Arial" w:cs="Arial"/>
                <w:b/>
                <w:sz w:val="18"/>
              </w:rPr>
            </w:pPr>
            <w:r w:rsidRPr="000A4228">
              <w:rPr>
                <w:rFonts w:ascii="Arial" w:hAnsi="Arial" w:cs="Arial"/>
                <w:b/>
                <w:sz w:val="18"/>
              </w:rPr>
              <w:t>Ndb</w:t>
            </w:r>
          </w:p>
          <w:p w:rsidR="00EB15A8" w:rsidRPr="000A4228" w:rsidRDefault="00EB15A8" w:rsidP="00165C98">
            <w:pPr>
              <w:pStyle w:val="TableParagraph"/>
              <w:ind w:left="5" w:hanging="142"/>
              <w:jc w:val="center"/>
              <w:rPr>
                <w:rFonts w:ascii="Arial" w:hAnsi="Arial" w:cs="Arial"/>
                <w:b/>
                <w:sz w:val="18"/>
              </w:rPr>
            </w:pPr>
            <w:r w:rsidRPr="000A4228">
              <w:rPr>
                <w:rFonts w:ascii="Arial" w:hAnsi="Arial" w:cs="Arial"/>
                <w:b/>
                <w:sz w:val="18"/>
              </w:rPr>
              <w:t xml:space="preserve">(kleiner </w:t>
            </w:r>
            <w:r w:rsidR="00B51491">
              <w:rPr>
                <w:rFonts w:ascii="Arial" w:hAnsi="Arial" w:cs="Arial"/>
                <w:b/>
                <w:sz w:val="18"/>
              </w:rPr>
              <w:br/>
            </w:r>
            <w:r w:rsidRPr="000A4228">
              <w:rPr>
                <w:rFonts w:ascii="Arial" w:hAnsi="Arial" w:cs="Arial"/>
                <w:b/>
                <w:sz w:val="18"/>
              </w:rPr>
              <w:t>20 %)</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2020</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45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2</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2019</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39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2</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2018</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26</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44</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3</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2017</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27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45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2</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2016</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37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165C98">
        <w:trPr>
          <w:trHeight w:val="30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rPr>
            </w:pPr>
            <w:r w:rsidRPr="000A4228">
              <w:rPr>
                <w:rFonts w:ascii="Arial" w:hAnsi="Arial" w:cs="Arial"/>
                <w:b/>
                <w:sz w:val="18"/>
              </w:rPr>
              <w:t>2015</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31" w:hanging="143"/>
              <w:jc w:val="center"/>
              <w:rPr>
                <w:rFonts w:ascii="Arial" w:hAnsi="Arial" w:cs="Arial"/>
                <w:sz w:val="18"/>
              </w:rPr>
            </w:pPr>
            <w:r w:rsidRPr="000A4228">
              <w:rPr>
                <w:rFonts w:ascii="Arial" w:hAnsi="Arial" w:cs="Arial"/>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83" w:hanging="175"/>
              <w:jc w:val="center"/>
              <w:rPr>
                <w:rFonts w:ascii="Arial" w:hAnsi="Arial" w:cs="Arial"/>
                <w:sz w:val="18"/>
              </w:rPr>
            </w:pPr>
            <w:r w:rsidRPr="000A4228">
              <w:rPr>
                <w:rFonts w:ascii="Arial" w:hAnsi="Arial" w:cs="Arial"/>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7" w:hanging="143"/>
              <w:jc w:val="center"/>
              <w:rPr>
                <w:rFonts w:ascii="Arial" w:hAnsi="Arial" w:cs="Arial"/>
                <w:sz w:val="18"/>
              </w:rPr>
            </w:pPr>
            <w:r w:rsidRPr="000A4228">
              <w:rPr>
                <w:rFonts w:ascii="Arial" w:hAnsi="Arial" w:cs="Arial"/>
                <w:sz w:val="18"/>
              </w:rPr>
              <w:t>28</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457" w:hanging="143"/>
              <w:jc w:val="center"/>
              <w:rPr>
                <w:rFonts w:ascii="Arial" w:hAnsi="Arial" w:cs="Arial"/>
                <w:sz w:val="18"/>
              </w:rPr>
            </w:pPr>
            <w:r w:rsidRPr="000A4228">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84" w:right="223" w:hanging="143"/>
              <w:jc w:val="center"/>
              <w:rPr>
                <w:rFonts w:ascii="Arial" w:hAnsi="Arial" w:cs="Arial"/>
                <w:sz w:val="18"/>
              </w:rPr>
            </w:pPr>
            <w:r w:rsidRPr="000A4228">
              <w:rPr>
                <w:rFonts w:ascii="Arial" w:hAnsi="Arial" w:cs="Arial"/>
                <w:sz w:val="18"/>
              </w:rPr>
              <w:t>43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4</w:t>
            </w:r>
          </w:p>
        </w:tc>
      </w:tr>
      <w:tr w:rsidR="00EB15A8" w:rsidRPr="000A4228" w:rsidTr="00165C98">
        <w:trPr>
          <w:trHeight w:val="450"/>
        </w:trPr>
        <w:tc>
          <w:tcPr>
            <w:tcW w:w="57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302" w:right="66"/>
              <w:rPr>
                <w:rFonts w:ascii="Arial" w:hAnsi="Arial" w:cs="Arial"/>
                <w:b/>
                <w:sz w:val="18"/>
              </w:rPr>
            </w:pPr>
            <w:r w:rsidRPr="000A4228">
              <w:rPr>
                <w:rFonts w:ascii="Arial" w:hAnsi="Arial" w:cs="Arial"/>
                <w:b/>
                <w:sz w:val="18"/>
              </w:rPr>
              <w:t>2014</w:t>
            </w:r>
          </w:p>
        </w:tc>
        <w:tc>
          <w:tcPr>
            <w:tcW w:w="99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84" w:right="431" w:hanging="143"/>
              <w:jc w:val="center"/>
              <w:rPr>
                <w:rFonts w:ascii="Arial" w:hAnsi="Arial" w:cs="Arial"/>
                <w:sz w:val="18"/>
              </w:rPr>
            </w:pPr>
            <w:r w:rsidRPr="000A4228">
              <w:rPr>
                <w:rFonts w:ascii="Arial" w:hAnsi="Arial" w:cs="Arial"/>
                <w:sz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84" w:right="483" w:hanging="175"/>
              <w:jc w:val="center"/>
              <w:rPr>
                <w:rFonts w:ascii="Arial" w:hAnsi="Arial" w:cs="Arial"/>
                <w:sz w:val="18"/>
              </w:rPr>
            </w:pPr>
            <w:r w:rsidRPr="000A4228">
              <w:rPr>
                <w:rFonts w:ascii="Arial" w:hAnsi="Arial" w:cs="Arial"/>
                <w:sz w:val="18"/>
              </w:rPr>
              <w:t>0</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84" w:right="227" w:hanging="143"/>
              <w:jc w:val="center"/>
              <w:rPr>
                <w:rFonts w:ascii="Arial" w:hAnsi="Arial" w:cs="Arial"/>
                <w:sz w:val="18"/>
              </w:rPr>
            </w:pPr>
            <w:r w:rsidRPr="000A4228">
              <w:rPr>
                <w:rFonts w:ascii="Arial" w:hAnsi="Arial" w:cs="Arial"/>
                <w:sz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84" w:right="457" w:hanging="143"/>
              <w:jc w:val="center"/>
              <w:rPr>
                <w:rFonts w:ascii="Arial" w:hAnsi="Arial" w:cs="Arial"/>
                <w:sz w:val="18"/>
              </w:rPr>
            </w:pPr>
            <w:r w:rsidRPr="000A4228">
              <w:rPr>
                <w:rFonts w:ascii="Arial" w:hAnsi="Arial" w:cs="Arial"/>
                <w:sz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84" w:right="223" w:hanging="143"/>
              <w:jc w:val="center"/>
              <w:rPr>
                <w:rFonts w:ascii="Arial" w:hAnsi="Arial" w:cs="Arial"/>
                <w:sz w:val="18"/>
              </w:rPr>
            </w:pPr>
            <w:r w:rsidRPr="000A4228">
              <w:rPr>
                <w:rFonts w:ascii="Arial" w:hAnsi="Arial" w:cs="Arial"/>
                <w:sz w:val="18"/>
              </w:rPr>
              <w:t>21</w:t>
            </w:r>
          </w:p>
        </w:tc>
        <w:tc>
          <w:tcPr>
            <w:tcW w:w="0" w:type="auto"/>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5</w:t>
            </w:r>
          </w:p>
        </w:tc>
      </w:tr>
    </w:tbl>
    <w:p w:rsidR="004E2593" w:rsidRDefault="004E2593"/>
    <w:p w:rsidR="004E2593" w:rsidRDefault="004E2593"/>
    <w:tbl>
      <w:tblPr>
        <w:tblStyle w:val="TableNormal"/>
        <w:tblW w:w="0" w:type="auto"/>
        <w:tblInd w:w="115" w:type="dxa"/>
        <w:tblLayout w:type="fixed"/>
        <w:tblLook w:val="01E0" w:firstRow="1" w:lastRow="1" w:firstColumn="1" w:lastColumn="1" w:noHBand="0" w:noVBand="0"/>
      </w:tblPr>
      <w:tblGrid>
        <w:gridCol w:w="580"/>
        <w:gridCol w:w="1001"/>
        <w:gridCol w:w="916"/>
        <w:gridCol w:w="927"/>
        <w:gridCol w:w="1039"/>
        <w:gridCol w:w="946"/>
        <w:gridCol w:w="992"/>
      </w:tblGrid>
      <w:tr w:rsidR="00EB15A8" w:rsidRPr="000A4228" w:rsidTr="00165C98">
        <w:trPr>
          <w:trHeight w:val="83"/>
        </w:trPr>
        <w:tc>
          <w:tcPr>
            <w:tcW w:w="6401" w:type="dxa"/>
            <w:gridSpan w:val="7"/>
            <w:tcBorders>
              <w:top w:val="single" w:sz="4" w:space="0" w:color="auto"/>
              <w:left w:val="single" w:sz="4" w:space="0" w:color="auto"/>
              <w:bottom w:val="single" w:sz="4" w:space="0" w:color="auto"/>
              <w:right w:val="single" w:sz="4" w:space="0" w:color="auto"/>
            </w:tcBorders>
          </w:tcPr>
          <w:p w:rsidR="00EB15A8" w:rsidRPr="000A4228" w:rsidRDefault="004E2593" w:rsidP="00165C98">
            <w:pPr>
              <w:pStyle w:val="TableParagraph"/>
              <w:spacing w:before="145"/>
              <w:ind w:left="306"/>
              <w:jc w:val="center"/>
              <w:rPr>
                <w:rFonts w:ascii="Arial" w:hAnsi="Arial" w:cs="Arial"/>
                <w:b/>
                <w:sz w:val="18"/>
              </w:rPr>
            </w:pPr>
            <w:r>
              <w:rPr>
                <w:rFonts w:ascii="Arial" w:hAnsi="Arial" w:cs="Arial"/>
                <w:b/>
                <w:sz w:val="18"/>
              </w:rPr>
              <w:t>Mittlere Unternehmen (50 bis</w:t>
            </w:r>
            <w:r w:rsidR="00EB15A8" w:rsidRPr="000A4228">
              <w:rPr>
                <w:rFonts w:ascii="Arial" w:hAnsi="Arial" w:cs="Arial"/>
                <w:b/>
                <w:sz w:val="18"/>
              </w:rPr>
              <w:t xml:space="preserve"> 249 Mitarbeitende Vollzeitäquivalente)</w:t>
            </w:r>
          </w:p>
        </w:tc>
      </w:tr>
      <w:tr w:rsidR="00EB15A8" w:rsidRPr="000A4228" w:rsidTr="00B51491">
        <w:trPr>
          <w:trHeight w:val="315"/>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jc w:val="center"/>
              <w:rPr>
                <w:rFonts w:ascii="Arial" w:hAnsi="Arial" w:cs="Arial"/>
                <w:sz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69" w:right="-185"/>
              <w:jc w:val="center"/>
              <w:rPr>
                <w:rFonts w:ascii="Arial" w:hAnsi="Arial" w:cs="Arial"/>
                <w:b/>
                <w:sz w:val="18"/>
              </w:rPr>
            </w:pPr>
            <w:r w:rsidRPr="000A4228">
              <w:rPr>
                <w:rFonts w:ascii="Arial" w:hAnsi="Arial" w:cs="Arial"/>
                <w:b/>
                <w:sz w:val="18"/>
              </w:rPr>
              <w:t>GRW-C</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78"/>
              <w:jc w:val="center"/>
              <w:rPr>
                <w:rFonts w:ascii="Arial" w:hAnsi="Arial" w:cs="Arial"/>
                <w:b/>
                <w:sz w:val="18"/>
              </w:rPr>
            </w:pPr>
            <w:r w:rsidRPr="000A4228">
              <w:rPr>
                <w:rFonts w:ascii="Arial" w:hAnsi="Arial" w:cs="Arial"/>
                <w:b/>
                <w:sz w:val="18"/>
              </w:rPr>
              <w:t>GRW-C</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90"/>
              <w:jc w:val="center"/>
              <w:rPr>
                <w:rFonts w:ascii="Arial" w:hAnsi="Arial" w:cs="Arial"/>
                <w:b/>
                <w:sz w:val="18"/>
              </w:rPr>
            </w:pPr>
            <w:r w:rsidRPr="000A4228">
              <w:rPr>
                <w:rFonts w:ascii="Arial" w:hAnsi="Arial" w:cs="Arial"/>
                <w:b/>
                <w:sz w:val="18"/>
              </w:rPr>
              <w:t>GRW-C</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77"/>
              <w:jc w:val="center"/>
              <w:rPr>
                <w:rFonts w:ascii="Arial" w:hAnsi="Arial" w:cs="Arial"/>
                <w:b/>
                <w:sz w:val="18"/>
              </w:rPr>
            </w:pPr>
            <w:r w:rsidRPr="000A4228">
              <w:rPr>
                <w:rFonts w:ascii="Arial" w:hAnsi="Arial" w:cs="Arial"/>
                <w:b/>
                <w:sz w:val="18"/>
              </w:rPr>
              <w:t>GRW-C</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91"/>
              <w:jc w:val="center"/>
              <w:rPr>
                <w:rFonts w:ascii="Arial" w:hAnsi="Arial" w:cs="Arial"/>
                <w:b/>
                <w:sz w:val="18"/>
              </w:rPr>
            </w:pPr>
            <w:r w:rsidRPr="000A4228">
              <w:rPr>
                <w:rFonts w:ascii="Arial" w:hAnsi="Arial" w:cs="Arial"/>
                <w:b/>
                <w:sz w:val="18"/>
              </w:rPr>
              <w:t>GRW-C</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64"/>
              <w:jc w:val="center"/>
              <w:rPr>
                <w:rFonts w:ascii="Arial" w:hAnsi="Arial" w:cs="Arial"/>
                <w:b/>
                <w:sz w:val="18"/>
              </w:rPr>
            </w:pPr>
            <w:r w:rsidRPr="000A4228">
              <w:rPr>
                <w:rFonts w:ascii="Arial" w:hAnsi="Arial" w:cs="Arial"/>
                <w:b/>
                <w:sz w:val="18"/>
              </w:rPr>
              <w:t>GRW-C</w:t>
            </w:r>
          </w:p>
        </w:tc>
      </w:tr>
      <w:tr w:rsidR="00EB15A8" w:rsidRPr="000A4228" w:rsidTr="00B51491">
        <w:trPr>
          <w:trHeight w:val="584"/>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4"/>
              <w:rPr>
                <w:rFonts w:ascii="Arial" w:hAnsi="Arial" w:cs="Arial"/>
                <w:sz w:val="18"/>
              </w:rPr>
            </w:pPr>
          </w:p>
          <w:p w:rsidR="00EB15A8" w:rsidRPr="000A4228" w:rsidRDefault="00EB15A8" w:rsidP="00B51491">
            <w:pPr>
              <w:pStyle w:val="TableParagraph"/>
              <w:spacing w:before="145"/>
              <w:ind w:left="142" w:right="-109"/>
              <w:jc w:val="center"/>
              <w:rPr>
                <w:rFonts w:ascii="Arial" w:hAnsi="Arial" w:cs="Arial"/>
                <w:sz w:val="18"/>
              </w:rPr>
            </w:pPr>
            <w:r w:rsidRPr="00B51491">
              <w:rPr>
                <w:rFonts w:ascii="Arial" w:hAnsi="Arial" w:cs="Arial"/>
                <w:sz w:val="18"/>
                <w:szCs w:val="16"/>
              </w:rPr>
              <w:t>Anzahl</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before="11"/>
              <w:ind w:left="69"/>
              <w:jc w:val="center"/>
              <w:rPr>
                <w:rFonts w:ascii="Arial" w:hAnsi="Arial" w:cs="Arial"/>
                <w:b/>
                <w:sz w:val="18"/>
              </w:rPr>
            </w:pPr>
            <w:r w:rsidRPr="000A4228">
              <w:rPr>
                <w:rFonts w:ascii="Arial" w:hAnsi="Arial" w:cs="Arial"/>
                <w:b/>
                <w:sz w:val="18"/>
              </w:rPr>
              <w:t>Ofr</w:t>
            </w:r>
          </w:p>
          <w:p w:rsidR="00EB15A8" w:rsidRPr="000A4228" w:rsidRDefault="00EB15A8" w:rsidP="00B51491">
            <w:pPr>
              <w:pStyle w:val="TableParagraph"/>
              <w:ind w:left="153"/>
              <w:jc w:val="center"/>
              <w:rPr>
                <w:rFonts w:ascii="Arial" w:hAnsi="Arial" w:cs="Arial"/>
                <w:b/>
                <w:sz w:val="18"/>
              </w:rPr>
            </w:pPr>
            <w:r w:rsidRPr="000A4228">
              <w:rPr>
                <w:rFonts w:ascii="Arial" w:hAnsi="Arial" w:cs="Arial"/>
                <w:b/>
                <w:sz w:val="18"/>
              </w:rPr>
              <w:t>(≥ 10 %)</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144" w:hanging="283"/>
              <w:jc w:val="center"/>
              <w:rPr>
                <w:rFonts w:ascii="Arial" w:hAnsi="Arial" w:cs="Arial"/>
                <w:b/>
                <w:sz w:val="18"/>
              </w:rPr>
            </w:pPr>
            <w:r w:rsidRPr="000A4228">
              <w:rPr>
                <w:rFonts w:ascii="Arial" w:hAnsi="Arial" w:cs="Arial"/>
                <w:b/>
                <w:sz w:val="18"/>
              </w:rPr>
              <w:t>Ofr</w:t>
            </w:r>
          </w:p>
          <w:p w:rsidR="00EB15A8" w:rsidRPr="000A4228" w:rsidRDefault="00EB15A8" w:rsidP="00B51491">
            <w:pPr>
              <w:pStyle w:val="TableParagraph"/>
              <w:ind w:left="144" w:hanging="47"/>
              <w:jc w:val="center"/>
              <w:rPr>
                <w:rFonts w:ascii="Arial" w:hAnsi="Arial" w:cs="Arial"/>
                <w:b/>
                <w:sz w:val="18"/>
              </w:rPr>
            </w:pPr>
            <w:r w:rsidRPr="000A4228">
              <w:rPr>
                <w:rFonts w:ascii="Arial" w:hAnsi="Arial" w:cs="Arial"/>
                <w:b/>
                <w:sz w:val="18"/>
              </w:rPr>
              <w:t>(kleiner 10 %)</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before="11"/>
              <w:ind w:left="190"/>
              <w:jc w:val="center"/>
              <w:rPr>
                <w:rFonts w:ascii="Arial" w:hAnsi="Arial" w:cs="Arial"/>
                <w:b/>
                <w:sz w:val="18"/>
              </w:rPr>
            </w:pPr>
            <w:r w:rsidRPr="000A4228">
              <w:rPr>
                <w:rFonts w:ascii="Arial" w:hAnsi="Arial" w:cs="Arial"/>
                <w:b/>
                <w:sz w:val="18"/>
              </w:rPr>
              <w:t>Opf</w:t>
            </w:r>
          </w:p>
          <w:p w:rsidR="00EB15A8" w:rsidRPr="000A4228" w:rsidRDefault="00EB15A8" w:rsidP="00EB15A8">
            <w:pPr>
              <w:pStyle w:val="TableParagraph"/>
              <w:ind w:left="190"/>
              <w:jc w:val="center"/>
              <w:rPr>
                <w:rFonts w:ascii="Arial" w:hAnsi="Arial" w:cs="Arial"/>
                <w:b/>
                <w:sz w:val="18"/>
              </w:rPr>
            </w:pPr>
            <w:r w:rsidRPr="000A4228">
              <w:rPr>
                <w:rFonts w:ascii="Arial" w:hAnsi="Arial" w:cs="Arial"/>
                <w:b/>
                <w:sz w:val="18"/>
              </w:rPr>
              <w:t>(≥ 10 %)</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before="11"/>
              <w:ind w:left="377" w:hanging="522"/>
              <w:jc w:val="center"/>
              <w:rPr>
                <w:rFonts w:ascii="Arial" w:hAnsi="Arial" w:cs="Arial"/>
                <w:b/>
                <w:sz w:val="18"/>
              </w:rPr>
            </w:pPr>
            <w:r w:rsidRPr="000A4228">
              <w:rPr>
                <w:rFonts w:ascii="Arial" w:hAnsi="Arial" w:cs="Arial"/>
                <w:b/>
                <w:sz w:val="18"/>
              </w:rPr>
              <w:t>Opf</w:t>
            </w:r>
          </w:p>
          <w:p w:rsidR="00EB15A8" w:rsidRPr="000A4228" w:rsidRDefault="00EB15A8" w:rsidP="00B51491">
            <w:pPr>
              <w:pStyle w:val="TableParagraph"/>
              <w:ind w:left="0" w:hanging="142"/>
              <w:jc w:val="center"/>
              <w:rPr>
                <w:rFonts w:ascii="Arial" w:hAnsi="Arial" w:cs="Arial"/>
                <w:b/>
                <w:sz w:val="18"/>
              </w:rPr>
            </w:pPr>
            <w:r w:rsidRPr="000A4228">
              <w:rPr>
                <w:rFonts w:ascii="Arial" w:hAnsi="Arial" w:cs="Arial"/>
                <w:b/>
                <w:sz w:val="18"/>
              </w:rPr>
              <w:t xml:space="preserve">(kleiner </w:t>
            </w:r>
            <w:r w:rsidR="00B51491">
              <w:rPr>
                <w:rFonts w:ascii="Arial" w:hAnsi="Arial" w:cs="Arial"/>
                <w:b/>
                <w:sz w:val="18"/>
              </w:rPr>
              <w:br/>
            </w:r>
            <w:r w:rsidRPr="000A4228">
              <w:rPr>
                <w:rFonts w:ascii="Arial" w:hAnsi="Arial" w:cs="Arial"/>
                <w:b/>
                <w:sz w:val="18"/>
              </w:rPr>
              <w:t>10 %)</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before="11"/>
              <w:ind w:left="191"/>
              <w:jc w:val="center"/>
              <w:rPr>
                <w:rFonts w:ascii="Arial" w:hAnsi="Arial" w:cs="Arial"/>
                <w:b/>
                <w:sz w:val="18"/>
              </w:rPr>
            </w:pPr>
            <w:r w:rsidRPr="000A4228">
              <w:rPr>
                <w:rFonts w:ascii="Arial" w:hAnsi="Arial" w:cs="Arial"/>
                <w:b/>
                <w:sz w:val="18"/>
              </w:rPr>
              <w:t>Ndb</w:t>
            </w:r>
          </w:p>
          <w:p w:rsidR="00EB15A8" w:rsidRPr="000A4228" w:rsidRDefault="00EB15A8" w:rsidP="00EB15A8">
            <w:pPr>
              <w:pStyle w:val="TableParagraph"/>
              <w:ind w:left="191"/>
              <w:jc w:val="center"/>
              <w:rPr>
                <w:rFonts w:ascii="Arial" w:hAnsi="Arial" w:cs="Arial"/>
                <w:b/>
                <w:sz w:val="18"/>
              </w:rPr>
            </w:pPr>
            <w:r w:rsidRPr="000A4228">
              <w:rPr>
                <w:rFonts w:ascii="Arial" w:hAnsi="Arial" w:cs="Arial"/>
                <w:b/>
                <w:sz w:val="18"/>
              </w:rPr>
              <w:t>(≥ 10 %)</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before="11"/>
              <w:ind w:left="364"/>
              <w:jc w:val="center"/>
              <w:rPr>
                <w:rFonts w:ascii="Arial" w:hAnsi="Arial" w:cs="Arial"/>
                <w:b/>
                <w:sz w:val="18"/>
              </w:rPr>
            </w:pPr>
            <w:r w:rsidRPr="000A4228">
              <w:rPr>
                <w:rFonts w:ascii="Arial" w:hAnsi="Arial" w:cs="Arial"/>
                <w:b/>
                <w:sz w:val="18"/>
              </w:rPr>
              <w:t>Ndb</w:t>
            </w:r>
          </w:p>
          <w:p w:rsidR="00EB15A8" w:rsidRPr="000A4228" w:rsidRDefault="00EB15A8" w:rsidP="00B51491">
            <w:pPr>
              <w:pStyle w:val="TableParagraph"/>
              <w:ind w:left="146" w:hanging="146"/>
              <w:jc w:val="center"/>
              <w:rPr>
                <w:rFonts w:ascii="Arial" w:hAnsi="Arial" w:cs="Arial"/>
                <w:b/>
                <w:sz w:val="18"/>
              </w:rPr>
            </w:pPr>
            <w:r w:rsidRPr="000A4228">
              <w:rPr>
                <w:rFonts w:ascii="Arial" w:hAnsi="Arial" w:cs="Arial"/>
                <w:b/>
                <w:sz w:val="18"/>
              </w:rPr>
              <w:t xml:space="preserve">(kleiner </w:t>
            </w:r>
            <w:r w:rsidR="00B51491">
              <w:rPr>
                <w:rFonts w:ascii="Arial" w:hAnsi="Arial" w:cs="Arial"/>
                <w:b/>
                <w:sz w:val="18"/>
              </w:rPr>
              <w:br/>
            </w:r>
            <w:r w:rsidRPr="000A4228">
              <w:rPr>
                <w:rFonts w:ascii="Arial" w:hAnsi="Arial" w:cs="Arial"/>
                <w:b/>
                <w:sz w:val="18"/>
              </w:rPr>
              <w:t>10 %)</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2020</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0</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6</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2019</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5</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1</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4</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1</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2018</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2</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0</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8</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1</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2017</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1</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0</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2</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2016</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4</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0</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7</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B51491">
        <w:trPr>
          <w:trHeight w:val="30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8" w:right="66" w:hanging="40"/>
              <w:jc w:val="center"/>
              <w:rPr>
                <w:rFonts w:ascii="Arial" w:hAnsi="Arial" w:cs="Arial"/>
                <w:b/>
                <w:sz w:val="18"/>
              </w:rPr>
            </w:pPr>
            <w:r w:rsidRPr="000A4228">
              <w:rPr>
                <w:rFonts w:ascii="Arial" w:hAnsi="Arial" w:cs="Arial"/>
                <w:b/>
                <w:sz w:val="18"/>
              </w:rPr>
              <w:t>2015</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1" w:hanging="188"/>
              <w:jc w:val="both"/>
              <w:rPr>
                <w:rFonts w:ascii="Arial" w:hAnsi="Arial" w:cs="Arial"/>
                <w:sz w:val="18"/>
              </w:rPr>
            </w:pPr>
            <w:r w:rsidRPr="000A4228">
              <w:rPr>
                <w:rFonts w:ascii="Arial" w:hAnsi="Arial" w:cs="Arial"/>
                <w:sz w:val="18"/>
              </w:rPr>
              <w:t>3</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211" w:hanging="188"/>
              <w:jc w:val="both"/>
              <w:rPr>
                <w:rFonts w:ascii="Arial" w:hAnsi="Arial" w:cs="Arial"/>
                <w:sz w:val="18"/>
              </w:rPr>
            </w:pPr>
            <w:r w:rsidRPr="000A4228">
              <w:rPr>
                <w:rFonts w:ascii="Arial" w:hAnsi="Arial" w:cs="Arial"/>
                <w:sz w:val="18"/>
              </w:rPr>
              <w:t>0</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30" w:hanging="188"/>
              <w:jc w:val="both"/>
              <w:rPr>
                <w:rFonts w:ascii="Arial" w:hAnsi="Arial" w:cs="Arial"/>
                <w:sz w:val="18"/>
              </w:rPr>
            </w:pPr>
            <w:r w:rsidRPr="000A4228">
              <w:rPr>
                <w:rFonts w:ascii="Arial" w:hAnsi="Arial" w:cs="Arial"/>
                <w:sz w:val="18"/>
              </w:rPr>
              <w:t>5</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416" w:hanging="188"/>
              <w:jc w:val="both"/>
              <w:rPr>
                <w:rFonts w:ascii="Arial" w:hAnsi="Arial" w:cs="Arial"/>
                <w:sz w:val="18"/>
              </w:rPr>
            </w:pPr>
            <w:r w:rsidRPr="000A4228">
              <w:rPr>
                <w:rFonts w:ascii="Arial" w:hAnsi="Arial" w:cs="Arial"/>
                <w:sz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295" w:right="691" w:hanging="188"/>
              <w:jc w:val="both"/>
              <w:rPr>
                <w:rFonts w:ascii="Arial" w:hAnsi="Arial" w:cs="Arial"/>
                <w:sz w:val="18"/>
              </w:rPr>
            </w:pPr>
            <w:r w:rsidRPr="000A4228">
              <w:rPr>
                <w:rFonts w:ascii="Arial" w:hAnsi="Arial" w:cs="Arial"/>
                <w:sz w:val="18"/>
              </w:rPr>
              <w:t>0</w:t>
            </w:r>
          </w:p>
        </w:tc>
      </w:tr>
      <w:tr w:rsidR="00EB15A8" w:rsidRPr="000A4228" w:rsidTr="00B51491">
        <w:trPr>
          <w:trHeight w:val="260"/>
        </w:trPr>
        <w:tc>
          <w:tcPr>
            <w:tcW w:w="58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18" w:right="66" w:hanging="40"/>
              <w:jc w:val="center"/>
              <w:rPr>
                <w:rFonts w:ascii="Arial" w:hAnsi="Arial" w:cs="Arial"/>
                <w:b/>
                <w:sz w:val="18"/>
              </w:rPr>
            </w:pPr>
            <w:r w:rsidRPr="000A4228">
              <w:rPr>
                <w:rFonts w:ascii="Arial" w:hAnsi="Arial" w:cs="Arial"/>
                <w:b/>
                <w:sz w:val="18"/>
              </w:rPr>
              <w:t>2014</w:t>
            </w:r>
          </w:p>
        </w:tc>
        <w:tc>
          <w:tcPr>
            <w:tcW w:w="100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431" w:hanging="188"/>
              <w:jc w:val="both"/>
              <w:rPr>
                <w:rFonts w:ascii="Arial" w:hAnsi="Arial" w:cs="Arial"/>
                <w:sz w:val="18"/>
              </w:rPr>
            </w:pPr>
            <w:r w:rsidRPr="000A4228">
              <w:rPr>
                <w:rFonts w:ascii="Arial" w:hAnsi="Arial" w:cs="Arial"/>
                <w:sz w:val="18"/>
              </w:rPr>
              <w:t>6</w:t>
            </w:r>
          </w:p>
        </w:tc>
        <w:tc>
          <w:tcPr>
            <w:tcW w:w="91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211" w:hanging="188"/>
              <w:jc w:val="both"/>
              <w:rPr>
                <w:rFonts w:ascii="Arial" w:hAnsi="Arial" w:cs="Arial"/>
                <w:sz w:val="18"/>
              </w:rPr>
            </w:pPr>
            <w:r w:rsidRPr="000A4228">
              <w:rPr>
                <w:rFonts w:ascii="Arial" w:hAnsi="Arial" w:cs="Arial"/>
                <w:sz w:val="18"/>
              </w:rPr>
              <w:t>1</w:t>
            </w:r>
          </w:p>
        </w:tc>
        <w:tc>
          <w:tcPr>
            <w:tcW w:w="927"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430" w:hanging="188"/>
              <w:jc w:val="both"/>
              <w:rPr>
                <w:rFonts w:ascii="Arial" w:hAnsi="Arial" w:cs="Arial"/>
                <w:sz w:val="18"/>
              </w:rPr>
            </w:pPr>
            <w:r w:rsidRPr="000A4228">
              <w:rPr>
                <w:rFonts w:ascii="Arial" w:hAnsi="Arial" w:cs="Arial"/>
                <w:sz w:val="18"/>
              </w:rPr>
              <w:t>3</w:t>
            </w:r>
          </w:p>
        </w:tc>
        <w:tc>
          <w:tcPr>
            <w:tcW w:w="103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184" w:hanging="188"/>
              <w:jc w:val="both"/>
              <w:rPr>
                <w:rFonts w:ascii="Arial" w:hAnsi="Arial" w:cs="Arial"/>
                <w:sz w:val="18"/>
              </w:rPr>
            </w:pPr>
            <w:r w:rsidRPr="000A4228">
              <w:rPr>
                <w:rFonts w:ascii="Arial" w:hAnsi="Arial" w:cs="Arial"/>
                <w:sz w:val="18"/>
              </w:rPr>
              <w:t>0</w:t>
            </w:r>
          </w:p>
        </w:tc>
        <w:tc>
          <w:tcPr>
            <w:tcW w:w="946"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416" w:hanging="188"/>
              <w:jc w:val="both"/>
              <w:rPr>
                <w:rFonts w:ascii="Arial" w:hAnsi="Arial" w:cs="Arial"/>
                <w:sz w:val="18"/>
              </w:rPr>
            </w:pPr>
            <w:r w:rsidRPr="000A4228">
              <w:rPr>
                <w:rFonts w:ascii="Arial" w:hAnsi="Arial" w:cs="Arial"/>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40" w:lineRule="exact"/>
              <w:ind w:left="295" w:right="691" w:hanging="188"/>
              <w:jc w:val="both"/>
              <w:rPr>
                <w:rFonts w:ascii="Arial" w:hAnsi="Arial" w:cs="Arial"/>
                <w:sz w:val="18"/>
              </w:rPr>
            </w:pPr>
            <w:r w:rsidRPr="000A4228">
              <w:rPr>
                <w:rFonts w:ascii="Arial" w:hAnsi="Arial" w:cs="Arial"/>
                <w:sz w:val="18"/>
              </w:rPr>
              <w:t>0</w:t>
            </w:r>
          </w:p>
        </w:tc>
      </w:tr>
    </w:tbl>
    <w:p w:rsidR="004E2F84" w:rsidRPr="000A4228" w:rsidRDefault="004E2F84" w:rsidP="004E2F84">
      <w:pPr>
        <w:pStyle w:val="LTAntwortRessortText"/>
        <w:rPr>
          <w:sz w:val="24"/>
        </w:rPr>
      </w:pPr>
    </w:p>
    <w:tbl>
      <w:tblPr>
        <w:tblStyle w:val="TableNormal"/>
        <w:tblW w:w="0" w:type="auto"/>
        <w:tblInd w:w="115" w:type="dxa"/>
        <w:tblLayout w:type="fixed"/>
        <w:tblLook w:val="01E0" w:firstRow="1" w:lastRow="1" w:firstColumn="1" w:lastColumn="1" w:noHBand="0" w:noVBand="0"/>
      </w:tblPr>
      <w:tblGrid>
        <w:gridCol w:w="589"/>
        <w:gridCol w:w="851"/>
        <w:gridCol w:w="850"/>
        <w:gridCol w:w="851"/>
      </w:tblGrid>
      <w:tr w:rsidR="00EB15A8" w:rsidRPr="000A4228" w:rsidTr="00165C98">
        <w:trPr>
          <w:trHeight w:val="260"/>
        </w:trPr>
        <w:tc>
          <w:tcPr>
            <w:tcW w:w="3141" w:type="dxa"/>
            <w:gridSpan w:val="4"/>
            <w:tcBorders>
              <w:top w:val="single" w:sz="4" w:space="0" w:color="auto"/>
              <w:left w:val="single" w:sz="4" w:space="0" w:color="auto"/>
              <w:bottom w:val="single" w:sz="4" w:space="0" w:color="auto"/>
              <w:right w:val="single" w:sz="4" w:space="0" w:color="auto"/>
            </w:tcBorders>
            <w:vAlign w:val="center"/>
          </w:tcPr>
          <w:p w:rsidR="00EB15A8" w:rsidRPr="000A4228" w:rsidRDefault="00EB15A8" w:rsidP="00165C98">
            <w:pPr>
              <w:pStyle w:val="TableParagraph"/>
              <w:spacing w:line="225" w:lineRule="exact"/>
              <w:ind w:left="18" w:firstLine="7"/>
              <w:rPr>
                <w:rFonts w:ascii="Arial" w:hAnsi="Arial" w:cs="Arial"/>
                <w:b/>
                <w:sz w:val="18"/>
                <w:szCs w:val="16"/>
              </w:rPr>
            </w:pPr>
            <w:r w:rsidRPr="000A4228">
              <w:rPr>
                <w:rFonts w:ascii="Arial" w:hAnsi="Arial" w:cs="Arial"/>
                <w:b/>
                <w:sz w:val="18"/>
                <w:szCs w:val="16"/>
              </w:rPr>
              <w:t xml:space="preserve">Große Unternehmen (ab 250 </w:t>
            </w:r>
            <w:r w:rsidR="00165C98">
              <w:rPr>
                <w:rFonts w:ascii="Arial" w:hAnsi="Arial" w:cs="Arial"/>
                <w:b/>
                <w:sz w:val="18"/>
                <w:szCs w:val="16"/>
              </w:rPr>
              <w:br/>
            </w:r>
            <w:r w:rsidRPr="000A4228">
              <w:rPr>
                <w:rFonts w:ascii="Arial" w:hAnsi="Arial" w:cs="Arial"/>
                <w:b/>
                <w:sz w:val="18"/>
                <w:szCs w:val="16"/>
              </w:rPr>
              <w:t>Mitarbeitende Vollzeitäquivalente)</w:t>
            </w:r>
          </w:p>
        </w:tc>
      </w:tr>
      <w:tr w:rsidR="00EB15A8" w:rsidRPr="000A4228" w:rsidTr="00165C98">
        <w:trPr>
          <w:trHeight w:val="45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rPr>
                <w:rFonts w:ascii="Arial" w:hAnsi="Arial" w:cs="Arial"/>
                <w:sz w:val="18"/>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135" w:hanging="132"/>
              <w:rPr>
                <w:rFonts w:ascii="Arial" w:hAnsi="Arial" w:cs="Arial"/>
                <w:b/>
                <w:sz w:val="18"/>
                <w:szCs w:val="16"/>
              </w:rPr>
            </w:pPr>
            <w:r w:rsidRPr="000A4228">
              <w:rPr>
                <w:rFonts w:ascii="Arial" w:hAnsi="Arial" w:cs="Arial"/>
                <w:b/>
                <w:sz w:val="18"/>
                <w:szCs w:val="16"/>
              </w:rPr>
              <w:t>GRW-C</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85"/>
              <w:rPr>
                <w:rFonts w:ascii="Arial" w:hAnsi="Arial" w:cs="Arial"/>
                <w:b/>
                <w:sz w:val="18"/>
                <w:szCs w:val="16"/>
              </w:rPr>
            </w:pPr>
            <w:r w:rsidRPr="000A4228">
              <w:rPr>
                <w:rFonts w:ascii="Arial" w:hAnsi="Arial" w:cs="Arial"/>
                <w:b/>
                <w:sz w:val="18"/>
                <w:szCs w:val="16"/>
              </w:rPr>
              <w:t>GRW-C</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84"/>
              <w:rPr>
                <w:rFonts w:ascii="Arial" w:hAnsi="Arial" w:cs="Arial"/>
                <w:b/>
                <w:sz w:val="18"/>
                <w:szCs w:val="16"/>
              </w:rPr>
            </w:pPr>
            <w:r w:rsidRPr="000A4228">
              <w:rPr>
                <w:rFonts w:ascii="Arial" w:hAnsi="Arial" w:cs="Arial"/>
                <w:b/>
                <w:sz w:val="18"/>
                <w:szCs w:val="16"/>
              </w:rPr>
              <w:t>GRW-C</w:t>
            </w:r>
          </w:p>
        </w:tc>
      </w:tr>
      <w:tr w:rsidR="00EB15A8" w:rsidRPr="000A4228" w:rsidTr="00165C98">
        <w:trPr>
          <w:trHeight w:val="45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EB15A8">
            <w:pPr>
              <w:pStyle w:val="TableParagraph"/>
              <w:spacing w:before="145"/>
              <w:ind w:left="142" w:right="-109"/>
              <w:jc w:val="center"/>
              <w:rPr>
                <w:rFonts w:ascii="Arial" w:hAnsi="Arial" w:cs="Arial"/>
                <w:sz w:val="18"/>
                <w:szCs w:val="16"/>
              </w:rPr>
            </w:pPr>
            <w:r w:rsidRPr="000A4228">
              <w:rPr>
                <w:rFonts w:ascii="Arial" w:hAnsi="Arial" w:cs="Arial"/>
                <w:sz w:val="18"/>
                <w:szCs w:val="16"/>
              </w:rPr>
              <w:t>Anzahl</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165C98" w:rsidRDefault="00EB15A8" w:rsidP="00165C98">
            <w:pPr>
              <w:pStyle w:val="TableParagraph"/>
              <w:spacing w:before="11"/>
              <w:ind w:left="69"/>
              <w:jc w:val="center"/>
              <w:rPr>
                <w:rFonts w:ascii="Arial" w:hAnsi="Arial" w:cs="Arial"/>
                <w:b/>
                <w:sz w:val="18"/>
              </w:rPr>
            </w:pPr>
            <w:r w:rsidRPr="00165C98">
              <w:rPr>
                <w:rFonts w:ascii="Arial" w:hAnsi="Arial" w:cs="Arial"/>
                <w:b/>
                <w:sz w:val="18"/>
              </w:rPr>
              <w:t>Ofr</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165C98" w:rsidRDefault="00EB15A8" w:rsidP="00165C98">
            <w:pPr>
              <w:pStyle w:val="TableParagraph"/>
              <w:spacing w:before="11"/>
              <w:ind w:left="385"/>
              <w:jc w:val="center"/>
              <w:rPr>
                <w:rFonts w:ascii="Arial" w:hAnsi="Arial" w:cs="Arial"/>
                <w:b/>
                <w:sz w:val="18"/>
              </w:rPr>
            </w:pPr>
            <w:r w:rsidRPr="00165C98">
              <w:rPr>
                <w:rFonts w:ascii="Arial" w:hAnsi="Arial" w:cs="Arial"/>
                <w:b/>
                <w:sz w:val="18"/>
              </w:rPr>
              <w:t>Opf</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165C98" w:rsidRDefault="00EB15A8" w:rsidP="00165C98">
            <w:pPr>
              <w:pStyle w:val="TableParagraph"/>
              <w:spacing w:before="11"/>
              <w:ind w:left="384"/>
              <w:jc w:val="center"/>
              <w:rPr>
                <w:rFonts w:ascii="Arial" w:hAnsi="Arial" w:cs="Arial"/>
                <w:b/>
                <w:sz w:val="18"/>
              </w:rPr>
            </w:pPr>
            <w:r w:rsidRPr="00165C98">
              <w:rPr>
                <w:rFonts w:ascii="Arial" w:hAnsi="Arial" w:cs="Arial"/>
                <w:b/>
                <w:sz w:val="18"/>
              </w:rPr>
              <w:t>Ndb</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2020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2018</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302" w:right="66"/>
              <w:rPr>
                <w:rFonts w:ascii="Arial" w:hAnsi="Arial" w:cs="Arial"/>
                <w:b/>
                <w:sz w:val="18"/>
                <w:szCs w:val="16"/>
              </w:rPr>
            </w:pPr>
            <w:r w:rsidRPr="000A4228">
              <w:rPr>
                <w:rFonts w:ascii="Arial" w:hAnsi="Arial" w:cs="Arial"/>
                <w:b/>
                <w:sz w:val="18"/>
                <w:szCs w:val="1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right="382"/>
              <w:rPr>
                <w:rFonts w:ascii="Arial" w:hAnsi="Arial" w:cs="Arial"/>
                <w:sz w:val="18"/>
                <w:szCs w:val="16"/>
              </w:rPr>
            </w:pPr>
            <w:r w:rsidRPr="000A4228">
              <w:rPr>
                <w:rFonts w:ascii="Arial" w:hAnsi="Arial" w:cs="Arial"/>
                <w:sz w:val="18"/>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left="349" w:right="380"/>
              <w:rPr>
                <w:rFonts w:ascii="Arial" w:hAnsi="Arial" w:cs="Arial"/>
                <w:sz w:val="18"/>
                <w:szCs w:val="16"/>
              </w:rPr>
            </w:pPr>
            <w:r w:rsidRPr="000A4228">
              <w:rPr>
                <w:rFonts w:ascii="Arial" w:hAnsi="Arial" w:cs="Arial"/>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spacing w:line="265" w:lineRule="exact"/>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2016</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30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2015</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0</w:t>
            </w:r>
          </w:p>
        </w:tc>
      </w:tr>
      <w:tr w:rsidR="00EB15A8" w:rsidRPr="000A4228" w:rsidTr="00165C98">
        <w:trPr>
          <w:trHeight w:val="450"/>
        </w:trPr>
        <w:tc>
          <w:tcPr>
            <w:tcW w:w="589"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02" w:right="66"/>
              <w:rPr>
                <w:rFonts w:ascii="Arial" w:hAnsi="Arial" w:cs="Arial"/>
                <w:b/>
                <w:sz w:val="18"/>
                <w:szCs w:val="16"/>
              </w:rPr>
            </w:pPr>
            <w:r w:rsidRPr="000A4228">
              <w:rPr>
                <w:rFonts w:ascii="Arial" w:hAnsi="Arial" w:cs="Arial"/>
                <w:b/>
                <w:sz w:val="18"/>
                <w:szCs w:val="16"/>
              </w:rPr>
              <w:t>2014</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382"/>
              <w:rPr>
                <w:rFonts w:ascii="Arial" w:hAnsi="Arial" w:cs="Arial"/>
                <w:sz w:val="18"/>
                <w:szCs w:val="16"/>
              </w:rPr>
            </w:pPr>
            <w:r w:rsidRPr="000A4228">
              <w:rPr>
                <w:rFonts w:ascii="Arial" w:hAnsi="Arial" w:cs="Arial"/>
                <w:sz w:val="18"/>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left="349" w:right="380"/>
              <w:rPr>
                <w:rFonts w:ascii="Arial" w:hAnsi="Arial" w:cs="Arial"/>
                <w:sz w:val="18"/>
                <w:szCs w:val="16"/>
              </w:rPr>
            </w:pPr>
            <w:r w:rsidRPr="000A4228">
              <w:rPr>
                <w:rFonts w:ascii="Arial" w:hAnsi="Arial" w:cs="Arial"/>
                <w:sz w:val="18"/>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EB15A8" w:rsidRPr="000A4228" w:rsidRDefault="00EB15A8" w:rsidP="00B51491">
            <w:pPr>
              <w:pStyle w:val="TableParagraph"/>
              <w:ind w:right="938"/>
              <w:rPr>
                <w:rFonts w:ascii="Arial" w:hAnsi="Arial" w:cs="Arial"/>
                <w:sz w:val="18"/>
                <w:szCs w:val="16"/>
              </w:rPr>
            </w:pPr>
            <w:r w:rsidRPr="000A4228">
              <w:rPr>
                <w:rFonts w:ascii="Arial" w:hAnsi="Arial" w:cs="Arial"/>
                <w:sz w:val="18"/>
                <w:szCs w:val="16"/>
              </w:rPr>
              <w:t>1</w:t>
            </w:r>
          </w:p>
        </w:tc>
      </w:tr>
      <w:tr w:rsidR="00EB15A8" w:rsidRPr="000A4228" w:rsidTr="00165C98">
        <w:trPr>
          <w:trHeight w:val="410"/>
        </w:trPr>
        <w:tc>
          <w:tcPr>
            <w:tcW w:w="1440" w:type="dxa"/>
            <w:gridSpan w:val="2"/>
            <w:tcBorders>
              <w:top w:val="single" w:sz="4" w:space="0" w:color="auto"/>
            </w:tcBorders>
            <w:vAlign w:val="center"/>
          </w:tcPr>
          <w:p w:rsidR="00EB15A8" w:rsidRPr="000A4228" w:rsidRDefault="00EB15A8" w:rsidP="00B51491">
            <w:pPr>
              <w:pStyle w:val="TableParagraph"/>
              <w:spacing w:before="145" w:line="245" w:lineRule="exact"/>
              <w:ind w:left="18" w:firstLine="7"/>
              <w:rPr>
                <w:rFonts w:ascii="Arial" w:hAnsi="Arial" w:cs="Arial"/>
                <w:sz w:val="18"/>
                <w:szCs w:val="16"/>
              </w:rPr>
            </w:pPr>
            <w:r w:rsidRPr="000A4228">
              <w:rPr>
                <w:rFonts w:ascii="Arial" w:hAnsi="Arial" w:cs="Arial"/>
                <w:sz w:val="18"/>
                <w:szCs w:val="16"/>
              </w:rPr>
              <w:t xml:space="preserve">Abfrage Stand </w:t>
            </w:r>
            <w:r w:rsidR="00B51491">
              <w:rPr>
                <w:rFonts w:ascii="Arial" w:hAnsi="Arial" w:cs="Arial"/>
                <w:sz w:val="18"/>
                <w:szCs w:val="16"/>
              </w:rPr>
              <w:t>05</w:t>
            </w:r>
            <w:r w:rsidRPr="000A4228">
              <w:rPr>
                <w:rFonts w:ascii="Arial" w:hAnsi="Arial" w:cs="Arial"/>
                <w:sz w:val="18"/>
                <w:szCs w:val="16"/>
              </w:rPr>
              <w:t>.07.2021</w:t>
            </w:r>
          </w:p>
        </w:tc>
        <w:tc>
          <w:tcPr>
            <w:tcW w:w="850" w:type="dxa"/>
            <w:tcBorders>
              <w:top w:val="single" w:sz="4" w:space="0" w:color="auto"/>
            </w:tcBorders>
            <w:vAlign w:val="center"/>
          </w:tcPr>
          <w:p w:rsidR="00EB15A8" w:rsidRPr="000A4228" w:rsidRDefault="00EB15A8" w:rsidP="00EB15A8">
            <w:pPr>
              <w:pStyle w:val="TableParagraph"/>
              <w:rPr>
                <w:rFonts w:ascii="Arial" w:hAnsi="Arial" w:cs="Arial"/>
                <w:sz w:val="18"/>
                <w:szCs w:val="16"/>
              </w:rPr>
            </w:pPr>
          </w:p>
        </w:tc>
        <w:tc>
          <w:tcPr>
            <w:tcW w:w="851" w:type="dxa"/>
            <w:tcBorders>
              <w:top w:val="single" w:sz="4" w:space="0" w:color="auto"/>
            </w:tcBorders>
            <w:vAlign w:val="center"/>
          </w:tcPr>
          <w:p w:rsidR="00EB15A8" w:rsidRPr="000A4228" w:rsidRDefault="00EB15A8" w:rsidP="00EB15A8">
            <w:pPr>
              <w:pStyle w:val="TableParagraph"/>
              <w:rPr>
                <w:rFonts w:ascii="Arial" w:hAnsi="Arial" w:cs="Arial"/>
                <w:sz w:val="18"/>
                <w:szCs w:val="16"/>
              </w:rPr>
            </w:pPr>
          </w:p>
        </w:tc>
      </w:tr>
    </w:tbl>
    <w:p w:rsidR="004E2F84" w:rsidRDefault="004E2F84" w:rsidP="00EB15A8">
      <w:pPr>
        <w:ind w:firstLine="426"/>
      </w:pPr>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3D45" w:rsidTr="00AE3D45">
        <w:tc>
          <w:tcPr>
            <w:tcW w:w="1883" w:type="dxa"/>
          </w:tcPr>
          <w:p w:rsidR="00AE3D45" w:rsidRDefault="00AE3D45" w:rsidP="00AE3D45">
            <w:pPr>
              <w:pStyle w:val="LTAnfrageInitiator"/>
            </w:pPr>
            <w:r>
              <w:lastRenderedPageBreak/>
              <w:t>Abgeordneter</w:t>
            </w:r>
            <w:r>
              <w:rPr>
                <w:b/>
              </w:rPr>
              <w:br/>
              <w:t>Florian</w:t>
            </w:r>
            <w:r>
              <w:rPr>
                <w:b/>
              </w:rPr>
              <w:br/>
              <w:t>Siekmann</w:t>
            </w:r>
            <w:r>
              <w:rPr>
                <w:b/>
              </w:rPr>
              <w:br/>
            </w:r>
            <w:r>
              <w:t>(BÜNDNIS 90/DIE GRÜNEN)</w:t>
            </w:r>
            <w:bookmarkStart w:id="91" w:name="Frage_Nr_45"/>
            <w:bookmarkEnd w:id="91"/>
          </w:p>
        </w:tc>
        <w:tc>
          <w:tcPr>
            <w:tcW w:w="5733" w:type="dxa"/>
          </w:tcPr>
          <w:p w:rsidR="00AE3D45" w:rsidRPr="00E85D1C" w:rsidRDefault="00AE3D45" w:rsidP="00E85D1C">
            <w:pPr>
              <w:pStyle w:val="LTAnfrageText"/>
            </w:pPr>
            <w:r w:rsidRPr="00E85D1C">
              <w:t>Ich frage die Staatsregierung, in welchem Umfang ist die Bayern Kapital am Unternehmen GNA Biosolutions beteiligt, welche Informations- und Kontrollrechte stehen der Bayern Kapital dadurch zu und wie darf GNA Biosolutions das Kapital aus der Beteiligung einsetzen?</w:t>
            </w:r>
          </w:p>
        </w:tc>
        <w:tc>
          <w:tcPr>
            <w:tcW w:w="5733"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p>
    <w:p w:rsidR="004E2F84" w:rsidRDefault="004E2F84" w:rsidP="004E2F84">
      <w:pPr>
        <w:pStyle w:val="LTAntwortRessortText"/>
      </w:pPr>
      <w:r>
        <w:t>Bayern Kapital ist nicht mehr an der GNA Biosolutions beteiligt. Am 30.09.2020 wurde ein Kaufvertrag für sämtliche Unternehmensanteile notariell beurkundet und mit dem Closing am 05.02.2021 abgeschlossen, wodurc</w:t>
      </w:r>
      <w:r w:rsidR="00CD314B">
        <w:t>h der Käufer sämtliche Unterneh</w:t>
      </w:r>
      <w:r>
        <w:t>mensanteile, inklusive der Anteile des Wachstumsfonds (5,23</w:t>
      </w:r>
      <w:r w:rsidR="00822EE3">
        <w:t xml:space="preserve"> </w:t>
      </w:r>
      <w:r w:rsidR="003F1661">
        <w:t>Prozent</w:t>
      </w:r>
      <w:r w:rsidR="00AF658F">
        <w:t xml:space="preserve"> Anteil am Stammka</w:t>
      </w:r>
      <w:r>
        <w:t>pital der GNA Biosolutions), an der GNA Biosolutions erwarb. Der Kaufvertrag enthält eine Geheimhaltungsvereinbarung für die Altgesellschafter der GNA Biosolutions.</w:t>
      </w:r>
    </w:p>
    <w:p w:rsidR="004E2F84" w:rsidRDefault="004E2F84" w:rsidP="004E2F84">
      <w:pPr>
        <w:pStyle w:val="LTAntwortRessortText"/>
      </w:pPr>
      <w:r>
        <w:t>Seit dem Verkauf der Anteile bestehen für die Bayern Kapital keinerlei Informations- und Kontrollrechte mehr. Während der Laufzeit der Beteiligung verfügte die Bayern Kapital über die im Venture Capital üblichen Invest</w:t>
      </w:r>
      <w:r w:rsidR="00AF658F">
        <w:t>orenrechte als GmbH-Gesellschaf</w:t>
      </w:r>
      <w:r>
        <w:t>ter. Hier bestand kein Unterschied zu den privaten Investoren, die gemeinsam mit der Bayern Kapital an der GNA Biosolutions beteiligt waren.</w:t>
      </w:r>
    </w:p>
    <w:p w:rsidR="004E2F84" w:rsidRDefault="004E2F84" w:rsidP="004E2F84">
      <w:pPr>
        <w:pStyle w:val="LTAntwortRessortText"/>
      </w:pPr>
      <w:r>
        <w:t>Gemäß der Beteiligungsgrundsätze des Wachstumsfonds setzte GNA Biosolutions die Mittel für die Weiterentwicklung des Produktportfolios und dessen Markteinführung ein.</w:t>
      </w:r>
    </w:p>
    <w:p w:rsidR="004E2F84" w:rsidRDefault="004E2F84">
      <w:bookmarkStart w:id="92" w:name="Frage_Nr_45_Ende"/>
      <w:bookmarkEnd w:id="9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3D45" w:rsidTr="00AE3D45">
        <w:tc>
          <w:tcPr>
            <w:tcW w:w="1883" w:type="dxa"/>
          </w:tcPr>
          <w:p w:rsidR="00AE3D45" w:rsidRDefault="00AE3D45" w:rsidP="00AE3D45">
            <w:pPr>
              <w:pStyle w:val="LTAnfrageInitiator"/>
            </w:pPr>
            <w:r>
              <w:lastRenderedPageBreak/>
              <w:t>Abgeordneter</w:t>
            </w:r>
            <w:r>
              <w:rPr>
                <w:b/>
              </w:rPr>
              <w:br/>
              <w:t>Martin</w:t>
            </w:r>
            <w:r>
              <w:rPr>
                <w:b/>
              </w:rPr>
              <w:br/>
              <w:t>Stümpfig</w:t>
            </w:r>
            <w:r>
              <w:rPr>
                <w:b/>
              </w:rPr>
              <w:br/>
            </w:r>
            <w:r>
              <w:t>(BÜNDNIS 90/DIE GRÜNEN)</w:t>
            </w:r>
            <w:bookmarkStart w:id="93" w:name="Frage_Nr_46"/>
            <w:bookmarkEnd w:id="93"/>
          </w:p>
        </w:tc>
        <w:tc>
          <w:tcPr>
            <w:tcW w:w="5733" w:type="dxa"/>
          </w:tcPr>
          <w:p w:rsidR="00AE3D45" w:rsidRPr="00E85D1C" w:rsidRDefault="00AE3D45" w:rsidP="00E85D1C">
            <w:pPr>
              <w:pStyle w:val="LTAnfrageText"/>
            </w:pPr>
            <w:r w:rsidRPr="00E85D1C">
              <w:t xml:space="preserve">Ich frage die Staatsregierung, wurde bei den von Staatsminister für Wirtschaft, Landesentwicklung und Energie Hubert </w:t>
            </w:r>
            <w:r w:rsidR="001E27CD">
              <w:br/>
            </w:r>
            <w:r w:rsidRPr="00E85D1C">
              <w:t>Aiwanger laut Pressemitteilung vom 21. Juni 2021 identifizierten 300 potenziellen Windkraftstandorten auf die Gebietskulisse in der Fassung aus dem Jahr 2016 zurückgegriffen, fand mit den identifizierten Kommunen bereits ein Austausch statt und steht die Untersuchung in Zusammenhang mit der vom Staatsministerium für Ernährung, Landwirtschaft und Forsten zurückgehaltenen Potenzialanalyse für Windkraftanlagen in den Bayerischen Staatsforsten oder anderen Erhebungen aus der jüngsten Vergangenheit?</w:t>
            </w:r>
          </w:p>
        </w:tc>
        <w:tc>
          <w:tcPr>
            <w:tcW w:w="5733"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p>
    <w:p w:rsidR="004E2F84" w:rsidRDefault="004E2F84" w:rsidP="004E2F84">
      <w:pPr>
        <w:pStyle w:val="LTAntwortRessortText"/>
      </w:pPr>
      <w:r>
        <w:t>Bei der Ermittlung der aus umweltschutzfachlicher Sich</w:t>
      </w:r>
      <w:r w:rsidR="00AF658F">
        <w:t>t potenziell für Windenergie ge</w:t>
      </w:r>
      <w:r>
        <w:t>eigneten Standorte in den bayerischen Wäldern wurde auf eine aktualisierte Fassung der Gebietskulisse Windkraft (Stand 07/2020) zurückg</w:t>
      </w:r>
      <w:r w:rsidR="00AF658F">
        <w:t>egriffen. Mit den rund 300 iden</w:t>
      </w:r>
      <w:r>
        <w:t>tifizierten Kommunen, in denen vermutlich geeignet</w:t>
      </w:r>
      <w:r w:rsidR="00AF658F">
        <w:t>e Waldflächen liegen, wurde bis</w:t>
      </w:r>
      <w:r>
        <w:t xml:space="preserve">lang nicht gesondert Kontakt aufgenommen. Zunächst </w:t>
      </w:r>
      <w:r w:rsidR="00AF658F">
        <w:t xml:space="preserve">hat sich Staatsminister </w:t>
      </w:r>
      <w:r w:rsidR="00822EE3">
        <w:t xml:space="preserve">Hubert </w:t>
      </w:r>
      <w:r w:rsidR="00AF658F">
        <w:t>Ai</w:t>
      </w:r>
      <w:r>
        <w:t>wanger am 23. März 2021 an alle bayerischen K</w:t>
      </w:r>
      <w:r w:rsidR="00AF658F">
        <w:t>ommunen gewandt, in denen ausge</w:t>
      </w:r>
      <w:r>
        <w:t>wiesene, nicht vollständig bebaute Vorrang- und Vorb</w:t>
      </w:r>
      <w:r w:rsidR="00AF658F">
        <w:t>ehaltsgebiete für Windkraft lie</w:t>
      </w:r>
      <w:r>
        <w:t>gen. Dabei wurden am Windenergieausbau interessierte Kommunen identifiziert, und es fand bereits ein erster vo</w:t>
      </w:r>
      <w:r w:rsidR="002E0C62">
        <w:t>m</w:t>
      </w:r>
      <w:r>
        <w:t xml:space="preserve"> St</w:t>
      </w:r>
      <w:r w:rsidR="00822EE3">
        <w:t>aatsmin</w:t>
      </w:r>
      <w:r w:rsidR="001E27CD">
        <w:t>i</w:t>
      </w:r>
      <w:r w:rsidR="00822EE3">
        <w:t>sterium für Wirtschaft, Landesentwicklung und Energie (St</w:t>
      </w:r>
      <w:r>
        <w:t>MWi</w:t>
      </w:r>
      <w:r w:rsidR="00822EE3">
        <w:t>)</w:t>
      </w:r>
      <w:r>
        <w:t xml:space="preserve"> und Landesagentur für Energie und Klimaschutz organisierter Online-Workshop mit den Kommunen statt. Parallel steht das StMWi zu den in den Staatsforsten identifizierten potenziellen Standor</w:t>
      </w:r>
      <w:r w:rsidR="00822EE3">
        <w:t xml:space="preserve">ten im engen Kontakt mit dem Staatsministerium für Ernährung, Landwirtschaft und Forsten </w:t>
      </w:r>
      <w:r>
        <w:t>und den Bayerischen Staatsforsten</w:t>
      </w:r>
      <w:r w:rsidR="00822EE3">
        <w:t xml:space="preserve"> (BaySF)</w:t>
      </w:r>
      <w:r>
        <w:t xml:space="preserve">. Die durchgeführte Analyse steht in keinem Zusammenhang mit der von den </w:t>
      </w:r>
      <w:r w:rsidR="00822EE3">
        <w:t>BaySF</w:t>
      </w:r>
      <w:r>
        <w:t xml:space="preserve"> beauftragten Potenzialanalyse oder anderer Erhebungen.</w:t>
      </w:r>
    </w:p>
    <w:p w:rsidR="004E2F84" w:rsidRDefault="004E2F84">
      <w:bookmarkStart w:id="94" w:name="Frage_Nr_46_Ende"/>
      <w:bookmarkEnd w:id="9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3D45" w:rsidTr="00AE3D45">
        <w:tc>
          <w:tcPr>
            <w:tcW w:w="1883" w:type="dxa"/>
          </w:tcPr>
          <w:p w:rsidR="00AE3D45" w:rsidRDefault="00AE3D45" w:rsidP="00AE3D45">
            <w:pPr>
              <w:pStyle w:val="LTAnfrageInitiator"/>
            </w:pPr>
            <w:r>
              <w:lastRenderedPageBreak/>
              <w:t>Abgeordnete</w:t>
            </w:r>
            <w:r>
              <w:rPr>
                <w:b/>
              </w:rPr>
              <w:br/>
              <w:t>Gabriele</w:t>
            </w:r>
            <w:r>
              <w:rPr>
                <w:b/>
              </w:rPr>
              <w:br/>
              <w:t>Triebel</w:t>
            </w:r>
            <w:r>
              <w:rPr>
                <w:b/>
              </w:rPr>
              <w:br/>
            </w:r>
            <w:r>
              <w:t>(BÜNDNIS 90/DIE GRÜNEN)</w:t>
            </w:r>
            <w:bookmarkStart w:id="95" w:name="Frage_Nr_47"/>
            <w:bookmarkEnd w:id="95"/>
          </w:p>
        </w:tc>
        <w:tc>
          <w:tcPr>
            <w:tcW w:w="5733" w:type="dxa"/>
          </w:tcPr>
          <w:p w:rsidR="00AE3D45" w:rsidRPr="00E85D1C" w:rsidRDefault="00AE3D45" w:rsidP="00E85D1C">
            <w:pPr>
              <w:pStyle w:val="LTAnfrageText"/>
            </w:pPr>
            <w:r w:rsidRPr="00E85D1C">
              <w:t>Ich frage die Staatsregierung, nachdem 2019/2020 die Gemeinde Fuchstal im Landkreis Landsberg Gespräche mit der Firma S</w:t>
            </w:r>
            <w:r w:rsidR="00AD1F73">
              <w:t>t</w:t>
            </w:r>
            <w:r w:rsidRPr="00E85D1C">
              <w:t>eico hinsichtlich einer möglichen Ansiedlung in ihrer Gemeinde geführt hat, waren bei diesen Gesprächen Vertreter bayerischer Staatsministerien mit eingebunden, wenn ja, von welchen Ministerien und mit welchem Ergebnis wurden die Gespräche beendet?</w:t>
            </w:r>
          </w:p>
        </w:tc>
        <w:tc>
          <w:tcPr>
            <w:tcW w:w="5733" w:type="dxa"/>
          </w:tcPr>
          <w:p w:rsidR="00AE3D45" w:rsidRDefault="00AE3D45" w:rsidP="00AE3D45">
            <w:pPr>
              <w:pStyle w:val="LTAnfrageText"/>
            </w:pPr>
          </w:p>
        </w:tc>
      </w:tr>
    </w:tbl>
    <w:p w:rsidR="004E2F84" w:rsidRDefault="004E2F84" w:rsidP="004E2F84">
      <w:pPr>
        <w:pStyle w:val="LTUeberschrAntwortRessort"/>
      </w:pPr>
      <w:r>
        <w:t>Antwort des Staatsministeriums für Wirtschaft, Landesentwicklung und Energie</w:t>
      </w:r>
    </w:p>
    <w:p w:rsidR="004E2F84" w:rsidRDefault="004E2F84" w:rsidP="004E2F84">
      <w:pPr>
        <w:pStyle w:val="LTAntwortRessortText"/>
      </w:pPr>
      <w:r>
        <w:t>Bei den Gesprächen, die die Gemeinde Fuchstal 201</w:t>
      </w:r>
      <w:r w:rsidR="00AF658F">
        <w:t>9/2020 mit der Firma Steico hin</w:t>
      </w:r>
      <w:r>
        <w:t>sichtlich einer möglichen Ansiedlung in ihrer Gemein</w:t>
      </w:r>
      <w:r w:rsidR="00AF658F">
        <w:t>de geführt hat, waren keine Ver</w:t>
      </w:r>
      <w:r>
        <w:t>treter des St</w:t>
      </w:r>
      <w:r w:rsidR="00822EE3">
        <w:t>aatsministeriums für Wirtschaft, Landesentwicklung u</w:t>
      </w:r>
      <w:r w:rsidR="00AD1F73">
        <w:t xml:space="preserve">nd Energie mit eingebunden. </w:t>
      </w:r>
      <w:r>
        <w:t xml:space="preserve">Staatsminister </w:t>
      </w:r>
      <w:r w:rsidR="00822EE3">
        <w:t>für Wirtschaft, Lan</w:t>
      </w:r>
      <w:r w:rsidR="00AD1F73">
        <w:t xml:space="preserve">desentwicklung und Energie </w:t>
      </w:r>
      <w:r w:rsidR="00822EE3">
        <w:t xml:space="preserve">Hubert </w:t>
      </w:r>
      <w:r>
        <w:t>Aiwanger hat danach mit der Firma Steico ein Gespräch geführt, in dem es um die Ansiedelung des Unternehmens in der Gemeinde Fuchstal ging.</w:t>
      </w:r>
    </w:p>
    <w:p w:rsidR="004E2F84" w:rsidRDefault="004E2F84">
      <w:bookmarkStart w:id="96" w:name="Frage_Nr_47_Ende"/>
      <w:bookmarkEnd w:id="96"/>
      <w:r>
        <w:br w:type="page"/>
      </w:r>
    </w:p>
    <w:p w:rsidR="004E2F84" w:rsidRDefault="004E2F84" w:rsidP="004E2F84">
      <w:pPr>
        <w:pStyle w:val="LTUeberschrRessort"/>
      </w:pPr>
      <w:r>
        <w:lastRenderedPageBreak/>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3D45" w:rsidTr="00AE3D45">
        <w:tc>
          <w:tcPr>
            <w:tcW w:w="1883" w:type="dxa"/>
          </w:tcPr>
          <w:p w:rsidR="00AE3D45" w:rsidRDefault="00AE3D45" w:rsidP="00AE3D45">
            <w:pPr>
              <w:pStyle w:val="LTAnfrageInitiator"/>
            </w:pPr>
            <w:r>
              <w:t>Abgeordneter</w:t>
            </w:r>
            <w:r>
              <w:rPr>
                <w:b/>
              </w:rPr>
              <w:br/>
              <w:t>Patrick</w:t>
            </w:r>
            <w:r>
              <w:rPr>
                <w:b/>
              </w:rPr>
              <w:br/>
              <w:t>Friedl</w:t>
            </w:r>
            <w:r>
              <w:rPr>
                <w:b/>
              </w:rPr>
              <w:br/>
            </w:r>
            <w:r>
              <w:t>(BÜNDNIS 90/DIE GRÜNEN)</w:t>
            </w:r>
            <w:bookmarkStart w:id="97" w:name="Frage_Nr_48"/>
            <w:bookmarkEnd w:id="97"/>
          </w:p>
        </w:tc>
        <w:tc>
          <w:tcPr>
            <w:tcW w:w="5733" w:type="dxa"/>
          </w:tcPr>
          <w:p w:rsidR="00AE3D45" w:rsidRPr="00E85D1C" w:rsidRDefault="00AE3D45" w:rsidP="00AD1F73">
            <w:pPr>
              <w:pStyle w:val="LTAnfrageText"/>
            </w:pPr>
            <w:r w:rsidRPr="00E85D1C">
              <w:t>Ich frage die Staatsregierung angesichts der zunehmenden Extrem-Hitze-Ereignisse (Hitzewellen mit Temperaturen deutlich über 40 Grad) in den ehemals „gemäßigten Breiten“ auf der Nordhalbkugel der Erde</w:t>
            </w:r>
            <w:r w:rsidR="00AD1F73">
              <w:t>,</w:t>
            </w:r>
            <w:r w:rsidRPr="00E85D1C">
              <w:t xml:space="preserve"> unter denen aktuell das westliche Kanada mit dem Auftreten von weit über hundert Waldbränden allein in British Columbia und einer deutlich zu verzeichnenden Übersterblichkeit leidet, wobei es sich hier anscheinend um eine Omega</w:t>
            </w:r>
            <w:r w:rsidR="00AD1F73">
              <w:t>-W</w:t>
            </w:r>
            <w:r w:rsidRPr="00E85D1C">
              <w:t>etterlage handelt, die zu vergleichsweise langen stabilen Hitzeperioden führt und sich in Kombination mit einer fortschreitenden Klimaüberhitzung sowohl in der Dauer der Hitzewellen als auch in den erreichten Höchsttemperaturen verstärken wird, welche Vorkehrungen beabsichtigt die Staatsregierung zu treffen (bzw. hat sie bereits getroffen), um auf solche Extrem-Hitze-Ereignisse vorbereitet zu sein, gibt es entsprechende Planungen bzw. bayerische Notfallpläne (wie z. B. für einen im Staatsministerium des Innern, für Sport und Integration angesiedelten Hitze-Notfall-Krisenstab, zentrale Notkühlräume, gekühlte Notschlafstätten – bitte unter Angabe der vorhandenen Vorkehrungen) und hält die Staatsregierung die derzeitigen bayerischen Kapazitäten zur Waldbrandbekämpfung aus der Luft (bitte unter Angabe der kurzfristig einsatzbereiten Löschflugzeuge und -hubschrauber) bzw. vom Boden für ausreichend, um mehr als hundert gleichzeitig auftretende Waldbrände (wie aktuell in Kanada) effizient bekämpfen zu können? </w:t>
            </w:r>
          </w:p>
        </w:tc>
        <w:tc>
          <w:tcPr>
            <w:tcW w:w="5733" w:type="dxa"/>
          </w:tcPr>
          <w:p w:rsidR="00AE3D45" w:rsidRDefault="00AE3D45" w:rsidP="00AE3D45">
            <w:pPr>
              <w:pStyle w:val="LTAnfrageText"/>
            </w:pPr>
          </w:p>
        </w:tc>
      </w:tr>
    </w:tbl>
    <w:p w:rsidR="004E2F84" w:rsidRDefault="004E2F84" w:rsidP="004E2F84">
      <w:pPr>
        <w:pStyle w:val="LTUeberschrAntwortRessort"/>
      </w:pPr>
      <w:r>
        <w:t>Antwort des Staatsministeriums für Umwelt und Verbraucherschutz</w:t>
      </w:r>
      <w:r w:rsidR="00AB6B60">
        <w:t xml:space="preserve"> im Einvernehmen mit dem Staatsministerium des Innern, für Sport und Integration</w:t>
      </w:r>
    </w:p>
    <w:p w:rsidR="004E2F84" w:rsidRDefault="004E2F84" w:rsidP="004E2F84">
      <w:pPr>
        <w:pStyle w:val="LTAntwortRessortText"/>
      </w:pPr>
      <w:r>
        <w:t>Der Klimawandel wird sich auch in Bayern weiterhin auswirken. Mit der Bayerischen Klima-Anpassungsstrategie hat die Staatsregierung bereits frühzeitig auf diese Herausforderungen reagiert. Im Rahmen eines angemessenen Risikomanagements werden Handlungsziele und präventive Maßnahmen festgelegt, um sich an unvermeidbare Folgen anzupassen. Im Katastrophenschutz verantwortlichen Behörden und Stellen ist die Berücksichtigung von sich ändernden Rahmenbedingungen wie den klimatischen Verhältnissen mit unter Umständen häufiger auftretenden extremen Naturereignissen sowie von neuen Erfahrungswerten ein ständiges und wichtiges Anliegen.</w:t>
      </w:r>
    </w:p>
    <w:p w:rsidR="004E2F84" w:rsidRDefault="004E2F84" w:rsidP="004E2F84">
      <w:pPr>
        <w:pStyle w:val="LTAntwortRessortText"/>
      </w:pPr>
      <w:r>
        <w:t>Der Freistaat Bayern ist auf ein Waldbrandgeschehen s</w:t>
      </w:r>
      <w:r w:rsidR="00822EE3">
        <w:t>ehr gut vorbereitet. Mehr als 7 </w:t>
      </w:r>
      <w:r>
        <w:t>500 Feuerwehren in Bayern stehen flächendeckend für die Brandbekämpfung zur Verfügung. Die</w:t>
      </w:r>
      <w:r w:rsidR="00AF658F">
        <w:t xml:space="preserve"> P</w:t>
      </w:r>
      <w:r>
        <w:t xml:space="preserve">lanungen und Maßnahmen der Waldbrandbekämpfung bauen dabei auf den zwei Säulen </w:t>
      </w:r>
      <w:r w:rsidR="003F1661">
        <w:t>„</w:t>
      </w:r>
      <w:r>
        <w:t>Prävention</w:t>
      </w:r>
      <w:r w:rsidR="003F1661">
        <w:t>“</w:t>
      </w:r>
      <w:r>
        <w:t xml:space="preserve"> und </w:t>
      </w:r>
      <w:r w:rsidR="003F1661">
        <w:t>„</w:t>
      </w:r>
      <w:r>
        <w:t>Brandbekämpfung</w:t>
      </w:r>
      <w:r w:rsidR="003F1661">
        <w:t>“</w:t>
      </w:r>
      <w:r>
        <w:t xml:space="preserve"> auf.</w:t>
      </w:r>
    </w:p>
    <w:p w:rsidR="004E2F84" w:rsidRDefault="004E2F84" w:rsidP="004E2F84">
      <w:pPr>
        <w:pStyle w:val="LTAntwortRessortText"/>
      </w:pPr>
      <w:r>
        <w:t>Häufigste Ursache für Waldbrände ist ein unvernünftiger Umgang mit offenem Feuer. Die Bayerische Forstverwaltung klärt im Ra</w:t>
      </w:r>
      <w:r w:rsidR="00822EE3">
        <w:t>hmen ihrer Dienstaufgaben (Art. </w:t>
      </w:r>
      <w:r>
        <w:t xml:space="preserve">28 </w:t>
      </w:r>
      <w:r w:rsidR="002E0C62">
        <w:t xml:space="preserve">Waldgesetz – </w:t>
      </w:r>
      <w:r>
        <w:t>BayWaldG) die Bevölkerung über die Gefährdung des Waldes durch Feuer auf. Waldbrände werden durch die sehr dichte Besiedelung in Bayern und durch angeordnete Aufklärungsflüge der Luftbeobachterstaffel Bayern e.</w:t>
      </w:r>
      <w:r w:rsidR="002E0C62">
        <w:t> </w:t>
      </w:r>
      <w:r>
        <w:t>V. bereits in der Entstehungsphase erkannt.</w:t>
      </w:r>
    </w:p>
    <w:p w:rsidR="004E2F84" w:rsidRDefault="004E2F84" w:rsidP="004E2F84">
      <w:pPr>
        <w:pStyle w:val="LTAntwortRessortText"/>
      </w:pPr>
      <w:r>
        <w:lastRenderedPageBreak/>
        <w:t>Unterstützend zur Brandbekämpfung am Boden setzt der Freistaat auf die Brandbekämpfung aus der Luft. Mittels Hubschraubern und Löschwasseraußenlastbehältern können bis zu 5</w:t>
      </w:r>
      <w:r w:rsidR="002E0C62">
        <w:t> </w:t>
      </w:r>
      <w:r>
        <w:t>000 Liter Wasser pro Behälter sehr zi</w:t>
      </w:r>
      <w:r w:rsidR="00AD1F73">
        <w:t>elgenau abgeworfen werden. Vons</w:t>
      </w:r>
      <w:r>
        <w:t>eiten der Landespolizei, der Bundespolizei, der Bundeswehr und privater Anbieter steh</w:t>
      </w:r>
      <w:r w:rsidR="002E0C62">
        <w:t>en erfahrungsgemäß mindestens zehn</w:t>
      </w:r>
      <w:r>
        <w:t xml:space="preserve"> Hubschrauber mit Lasthaken jederzeit einsatzbereit zur Verfügung. Für das komplexe Zusammenspiel zwischen Feuerwehr und Hubschrauberbesatzung gibt es in Bayern an 17 Standorten sog. Flughelfergruppen mit insgesamt mehr als 50 Außenlastbehältern. Flughelfer sind Feuerwehreinheiten, die aufgrund einer speziellen Ausbildung an der Staatlichen Feuerwehrschule Würzburg die Leitung des Flugbetriebs übernehmen oder das Anhängen von Lasten an Hubschrauber sicher bewerkstelligen können. Diese Einheiten sind in Deutschland einzigartig.</w:t>
      </w:r>
    </w:p>
    <w:p w:rsidR="004E2F84" w:rsidRDefault="004E2F84" w:rsidP="004E2F84">
      <w:pPr>
        <w:pStyle w:val="LTAntwortRessortText"/>
      </w:pPr>
      <w:r>
        <w:t>Gleichzeitig beobachtet die Staatsregierung die zukünftige Entwicklung der Waldbrandsituation sehr genau. So finden beispielsweise noch in diesem Monat zwei Workshops statt, in denen zum einen Vertreter des St</w:t>
      </w:r>
      <w:r w:rsidR="002E0C62">
        <w:t xml:space="preserve">aatsministeriums des Innern, für Sport und Integration </w:t>
      </w:r>
      <w:r>
        <w:t>und des St</w:t>
      </w:r>
      <w:r w:rsidR="002E0C62">
        <w:t>aatsministeriums für Ernährung, Landwirtschaft und Forsten</w:t>
      </w:r>
      <w:r>
        <w:t xml:space="preserve"> mit Vertretern der Wissenschaft erörtern, wie sich das Waldbrandgeschehen in Bayern in den kommenden Jahren in Hinblick auf klimatische und biotische Veränderungen entwickeln kann. Zum anderen wird das St</w:t>
      </w:r>
      <w:r w:rsidR="002E0C62">
        <w:t>aatsministerium des Innern, für Sport und Integration</w:t>
      </w:r>
      <w:r>
        <w:t xml:space="preserve"> mit Vertretern des Landesfeuerwehrverbandes und ausgewählter Feuerwehren diskutieren, welche Auswirkungen die Ergebnisse des ersten Workshops auf die künftige Ausbildung und Ausstattung der bayerischen Feuerwehren haben muss.</w:t>
      </w:r>
    </w:p>
    <w:p w:rsidR="004E2F84" w:rsidRDefault="004E2F84">
      <w:bookmarkStart w:id="98" w:name="Frage_Nr_48_Ende"/>
      <w:bookmarkEnd w:id="98"/>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474E9B" w:rsidTr="00474E9B">
        <w:tc>
          <w:tcPr>
            <w:tcW w:w="1900" w:type="dxa"/>
          </w:tcPr>
          <w:p w:rsidR="00474E9B" w:rsidRDefault="00474E9B" w:rsidP="00474E9B">
            <w:pPr>
              <w:pStyle w:val="LTAnfrageInitiator"/>
            </w:pPr>
            <w:r>
              <w:lastRenderedPageBreak/>
              <w:t>Abgeordneter</w:t>
            </w:r>
            <w:r>
              <w:rPr>
                <w:b/>
              </w:rPr>
              <w:br/>
              <w:t>Christian</w:t>
            </w:r>
            <w:r>
              <w:rPr>
                <w:b/>
              </w:rPr>
              <w:br/>
              <w:t>Hierneis</w:t>
            </w:r>
            <w:r>
              <w:rPr>
                <w:b/>
              </w:rPr>
              <w:br/>
            </w:r>
            <w:r>
              <w:t>(BÜNDNIS 90/DIE GRÜNEN)</w:t>
            </w:r>
            <w:bookmarkStart w:id="99" w:name="Frage_Nr_49"/>
            <w:bookmarkEnd w:id="99"/>
          </w:p>
        </w:tc>
        <w:tc>
          <w:tcPr>
            <w:tcW w:w="5716" w:type="dxa"/>
          </w:tcPr>
          <w:p w:rsidR="00474E9B" w:rsidRPr="00E85D1C" w:rsidRDefault="00474E9B" w:rsidP="00E85D1C">
            <w:pPr>
              <w:pStyle w:val="LTAnfrageText"/>
            </w:pPr>
            <w:r w:rsidRPr="00E85D1C">
              <w:t>Ich frage die Staatsregierung, wurden bereits Gespräche mit betroffenen Landwirtinnen und -wirten sowie Grundstückeigentümerinnen bzw. -eigentümern betreffend die Verwendung der zur Verfügung gestellten 200 Mio. Euro für die Wiedervernässung und Renaturierung des Donaumooses geführt, wenn ja</w:t>
            </w:r>
            <w:r w:rsidR="00AD1F73">
              <w:t>,</w:t>
            </w:r>
            <w:r w:rsidRPr="00E85D1C">
              <w:t xml:space="preserve"> mit wem und welche Vorstellungen zur Verwendung der 200 Mio. Euro wurden von den betroffenen Landwirtinnen bzw. </w:t>
            </w:r>
            <w:r w:rsidR="00AD1F73">
              <w:br/>
            </w:r>
            <w:r w:rsidRPr="00E85D1C">
              <w:t>-wirten sowie Grundeigentümerinnen bzw. -eigentümern vorgebracht?  </w:t>
            </w:r>
          </w:p>
        </w:tc>
        <w:tc>
          <w:tcPr>
            <w:tcW w:w="5716" w:type="dxa"/>
          </w:tcPr>
          <w:p w:rsidR="00474E9B" w:rsidRDefault="00474E9B" w:rsidP="00474E9B">
            <w:pPr>
              <w:pStyle w:val="LTAnfrageText"/>
            </w:pPr>
          </w:p>
        </w:tc>
      </w:tr>
    </w:tbl>
    <w:p w:rsidR="004E2F84" w:rsidRDefault="004E2F84" w:rsidP="004E2F84">
      <w:pPr>
        <w:pStyle w:val="LTUeberschrAntwortRessort"/>
      </w:pPr>
      <w:r>
        <w:t>Antwort des Staatsministeriums für Umwelt und Verbraucherschutz</w:t>
      </w:r>
      <w:r w:rsidR="00AB6B60">
        <w:t xml:space="preserve"> in Abstimmung mit dem Staatsministerium für Ernährung, Landwirtschaft und Forsten</w:t>
      </w:r>
    </w:p>
    <w:p w:rsidR="004E2F84" w:rsidRDefault="004E2F84" w:rsidP="004E2F84">
      <w:pPr>
        <w:pStyle w:val="LTAntwortRessortText"/>
      </w:pPr>
      <w:r>
        <w:t xml:space="preserve">Vertreter der Landwirtschaft sind bereits seit der Erstellung des Konzeptes </w:t>
      </w:r>
      <w:r w:rsidR="003F1661">
        <w:t>„</w:t>
      </w:r>
      <w:r>
        <w:t>Klimaschutz durch Moorbodenschutz am Beispiel des Bayerischen Donaumooses</w:t>
      </w:r>
      <w:r w:rsidR="003F1661">
        <w:t>“</w:t>
      </w:r>
      <w:r>
        <w:t xml:space="preserve"> eng eingebunden. </w:t>
      </w:r>
      <w:r w:rsidR="003F1661">
        <w:t>U. a.</w:t>
      </w:r>
      <w:r>
        <w:t xml:space="preserve"> wurde durch ein gemeinsames Schreiben des Landrates von Neuburg-Schrobenhausen zusammen mit dem Kreisobmann des Bayerischen Bauernverbandes an die Staatskanzlei das Vorhaben maßgeblich initiiert. Der Präsident des Bayerischen Bauernverbands, Walter Heidl, vertrat beim Termin am </w:t>
      </w:r>
      <w:r w:rsidR="002E0C62">
        <w:t xml:space="preserve">04.05.2021 </w:t>
      </w:r>
      <w:r>
        <w:t>in Langenmosen die Positionen des Berufsstands.</w:t>
      </w:r>
    </w:p>
    <w:p w:rsidR="004E2F84" w:rsidRDefault="004E2F84" w:rsidP="004E2F84">
      <w:pPr>
        <w:pStyle w:val="LTAntwortRessortText"/>
      </w:pPr>
      <w:r>
        <w:t>Anschließend wurden in verschiedenen Informationsveranstaltungen, zuletzt im Rahmen einer Sonder-Kreistagssitzung des Landkreises Neuburg-Schrobenhausen am 26.06.2021, wichtige Akteure vor Ort, wie Kreisrätinnen und Kreisräte, Bürgermeisterinnen und Bürgermeister sowie die zwei betroffenen Landräte und Vertreter der Verbände informiert. Der Kreistag Neuburg-Schrobenhausen hat sich anschließend fraktionsübergreifend und einstimmig dafür ausgesprochen, den Prozess zur Fortentwicklung eines gemeinschaftlich getragenen Donaumoos-Entwicklungskonzeptes 2.0 anzustoßen und dies mit einem ergebnisoffenen Planungsprozess sicherzustellen. Die Vertreter des landwirtschaftlichen Berufsstands im Kreistag vertraten in der Diskussion die Positionen des Berufsstands und trugen anschließend geschlossen den Kreistagsbeschluss mit.</w:t>
      </w:r>
    </w:p>
    <w:p w:rsidR="004E2F84" w:rsidRDefault="004E2F84" w:rsidP="004E2F84">
      <w:pPr>
        <w:pStyle w:val="LTAntwortRessortText"/>
      </w:pPr>
      <w:r>
        <w:t xml:space="preserve">Landwirte bringen ihre Anliegen regelmäßig an </w:t>
      </w:r>
      <w:r w:rsidR="00164D45">
        <w:t>das Amt</w:t>
      </w:r>
      <w:r w:rsidR="002E0C62">
        <w:t xml:space="preserve"> für Ernährung, Landwirtschaft und Forsten und an </w:t>
      </w:r>
      <w:r w:rsidR="00164D45">
        <w:t>das Amt</w:t>
      </w:r>
      <w:r w:rsidR="002E0C62">
        <w:t xml:space="preserve"> für Ländliche Entwicklung Oberbayern</w:t>
      </w:r>
      <w:r>
        <w:t xml:space="preserve"> vor, auch nutzten mehre</w:t>
      </w:r>
      <w:r w:rsidR="00AD1F73">
        <w:t>re Vertreter des Berufsstands im</w:t>
      </w:r>
      <w:r>
        <w:t xml:space="preserve"> Kreistag die Möglichkeit, ihre Anliegen im persönlichen Gespräch mit dem Vertreter des St</w:t>
      </w:r>
      <w:r w:rsidR="002E0C62">
        <w:t>aatsministeriums für Ernährung, Landwirtschaft und Forsten</w:t>
      </w:r>
      <w:r>
        <w:t xml:space="preserve"> vorzubringen. Um einen umfassenden Dialogprozess im Sinne des Konzepts </w:t>
      </w:r>
      <w:r w:rsidR="003F1661">
        <w:t>„</w:t>
      </w:r>
      <w:r>
        <w:t>Klimaschutz durch Moorbodenschutz am Beispiel des Bayerischen Donaumooses</w:t>
      </w:r>
      <w:r w:rsidR="003F1661">
        <w:t>“</w:t>
      </w:r>
      <w:r w:rsidR="00AF658F">
        <w:t xml:space="preserve"> </w:t>
      </w:r>
      <w:r>
        <w:t>anzustoßen und zu gemeinschaftlich getragenen Lösungen im Sinne aller Betroffenen zu führen, werden die entsprechenden Strukturen entsprechend des Konzepts in den nächsten Monaten aufgebaut.</w:t>
      </w:r>
    </w:p>
    <w:p w:rsidR="004E2F84" w:rsidRDefault="004E2F84">
      <w:bookmarkStart w:id="100" w:name="Frage_Nr_49_Ende"/>
      <w:bookmarkEnd w:id="100"/>
      <w:r>
        <w:br w:type="page"/>
      </w:r>
    </w:p>
    <w:p w:rsidR="004E2F84" w:rsidRDefault="004E2F84" w:rsidP="004E2F84">
      <w:pPr>
        <w:pStyle w:val="LTUeberschrRessort"/>
      </w:pPr>
      <w:r>
        <w:lastRenderedPageBreak/>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4E9B" w:rsidTr="00474E9B">
        <w:tc>
          <w:tcPr>
            <w:tcW w:w="1883" w:type="dxa"/>
          </w:tcPr>
          <w:p w:rsidR="00474E9B" w:rsidRDefault="00474E9B" w:rsidP="00474E9B">
            <w:pPr>
              <w:pStyle w:val="LTAnfrageInitiator"/>
            </w:pPr>
            <w:r>
              <w:t>Abgeordneter</w:t>
            </w:r>
            <w:r>
              <w:rPr>
                <w:b/>
              </w:rPr>
              <w:br/>
              <w:t>Ludwig</w:t>
            </w:r>
            <w:r>
              <w:rPr>
                <w:b/>
              </w:rPr>
              <w:br/>
              <w:t>Hartmann</w:t>
            </w:r>
            <w:r>
              <w:rPr>
                <w:b/>
              </w:rPr>
              <w:br/>
            </w:r>
            <w:r>
              <w:t>(BÜNDNIS 90/DIE GRÜNEN)</w:t>
            </w:r>
            <w:bookmarkStart w:id="101" w:name="Frage_Nr_50"/>
            <w:bookmarkEnd w:id="101"/>
          </w:p>
        </w:tc>
        <w:tc>
          <w:tcPr>
            <w:tcW w:w="5733" w:type="dxa"/>
          </w:tcPr>
          <w:p w:rsidR="00474E9B" w:rsidRPr="00E85D1C" w:rsidRDefault="00474E9B" w:rsidP="00E85D1C">
            <w:pPr>
              <w:pStyle w:val="LTAnfrageText"/>
            </w:pPr>
            <w:r w:rsidRPr="00E85D1C">
              <w:t>Hiermit frage ich die Staatsregierung, ob bei Gesprächen mit den Gemeindeverwaltungen oder Gemeinderätinnen bzw. -räten der Kommunen Schwifting oder Penzing in den Jahren 2020 und 2021 bezüglich einer etwaigen Ansiedlung der Firma Steico auf Flächen nahe des Guts Stillern an der A96, welche sich im Besitz des Staatsguts Achselschwang befinden, Vertreterinnen und Vertreter der Staatsministerien, nachgelagerter Behörden oder der Bayerischen Staatsforsten mit eingebunden waren, welche Rollen diese Vertreterinnen und Vertreter jeweils hatten und von jeweils welchen Staatsministerien die Vertreterinnen und Vertreter kamen?</w:t>
            </w:r>
          </w:p>
        </w:tc>
        <w:tc>
          <w:tcPr>
            <w:tcW w:w="5733" w:type="dxa"/>
          </w:tcPr>
          <w:p w:rsidR="00474E9B" w:rsidRDefault="00474E9B" w:rsidP="00474E9B">
            <w:pPr>
              <w:pStyle w:val="LTAnfrageText"/>
            </w:pPr>
          </w:p>
        </w:tc>
      </w:tr>
    </w:tbl>
    <w:p w:rsidR="004E2F84" w:rsidRDefault="004E2F84" w:rsidP="004E2F84">
      <w:pPr>
        <w:pStyle w:val="LTUeberschrAntwortRessort"/>
      </w:pPr>
      <w:r>
        <w:t>Antwort des Staatsministeriums für Ernährung, Landwirtschaft und Forsten</w:t>
      </w:r>
    </w:p>
    <w:p w:rsidR="004E2F84" w:rsidRDefault="004E2F84" w:rsidP="004E2F84">
      <w:pPr>
        <w:pStyle w:val="LTAntwortRessortText"/>
      </w:pPr>
      <w:r>
        <w:t>Bei den Gesprächen mit den Gemeinden Penzing und Schwifting (Gespräch mit den Bürgermeistern, Projektvorstellung im Gemeinderat) waren die Bayerischen Staatsforsten (BaySF) ve</w:t>
      </w:r>
      <w:r w:rsidR="00AF658F">
        <w:t>rtreten. Die Rolle der BaySF be</w:t>
      </w:r>
      <w:r>
        <w:t>schränkte sich dabe</w:t>
      </w:r>
      <w:r w:rsidR="00AD1F73">
        <w:t>i auf die Darstellung des Potenz</w:t>
      </w:r>
      <w:r>
        <w:t>ials zur nachhaltigen Versorgungssicherheit eines möglichen Pr</w:t>
      </w:r>
      <w:r w:rsidR="007A52F5">
        <w:t>oduktionsstandorts mit dem nach</w:t>
      </w:r>
      <w:r>
        <w:t>wachsenden Rohstoff Holz. Bei den Gesprächen mit den Gemeinden Penzing und Schwifting, an denen di</w:t>
      </w:r>
      <w:r w:rsidR="00AF658F">
        <w:t xml:space="preserve">e BaySF teilgenommen hat, waren </w:t>
      </w:r>
      <w:r w:rsidR="002E0C62">
        <w:t>keine Mitarbeiter</w:t>
      </w:r>
      <w:r>
        <w:t xml:space="preserve">innen </w:t>
      </w:r>
      <w:r w:rsidR="002E0C62">
        <w:t xml:space="preserve">bzw. Mitarbeiter </w:t>
      </w:r>
      <w:r>
        <w:t xml:space="preserve">der </w:t>
      </w:r>
      <w:r w:rsidR="002E0C62">
        <w:t>Immobilien Freistaat Bayern (</w:t>
      </w:r>
      <w:r>
        <w:t>IMBY</w:t>
      </w:r>
      <w:r w:rsidR="002E0C62">
        <w:t>)</w:t>
      </w:r>
      <w:r>
        <w:t xml:space="preserve"> oder ander</w:t>
      </w:r>
      <w:r w:rsidR="007A52F5">
        <w:t>er staatlicher Institutionen an</w:t>
      </w:r>
      <w:r>
        <w:t>wesend.</w:t>
      </w:r>
    </w:p>
    <w:p w:rsidR="004E2F84" w:rsidRDefault="004E2F84" w:rsidP="004E2F84">
      <w:pPr>
        <w:pStyle w:val="LTAntwortRessortText"/>
      </w:pPr>
      <w:r>
        <w:t xml:space="preserve">Zudem fand am 10. Juni 2021 zum Projekt der Fa. Steico eine </w:t>
      </w:r>
      <w:r w:rsidR="00AD1F73">
        <w:t>Besprechung in der Regierung von</w:t>
      </w:r>
      <w:r>
        <w:t xml:space="preserve"> Oberbayern mit Teilnehmenden der Regierung von Oberbayern, dem Landratsamt Landsberg am Lech, der Gemeinde Penzing, der BaySF und der Firma Steico statt. Wie</w:t>
      </w:r>
      <w:r w:rsidR="007A52F5">
        <w:t xml:space="preserve"> bei vielen anderen Ansiedlungs</w:t>
      </w:r>
      <w:r>
        <w:t>vorhaben auch hat der Vertreter der Firma (Steico) in</w:t>
      </w:r>
      <w:r w:rsidR="002E0C62">
        <w:t xml:space="preserve"> einem frühen Stadium ein potenz</w:t>
      </w:r>
      <w:r>
        <w:t xml:space="preserve">ielles Ansiedlungsvorhaben skizziert, um Auskunft über formale Rahmenbedingungen (hier </w:t>
      </w:r>
      <w:r w:rsidR="003F1661">
        <w:t>z. B.</w:t>
      </w:r>
      <w:r>
        <w:t xml:space="preserve"> Notwend</w:t>
      </w:r>
      <w:r w:rsidR="007A52F5">
        <w:t>igkeit eines Raumordnungsverfah</w:t>
      </w:r>
      <w:r>
        <w:t>rens und Anforderungen an Bauleitplan</w:t>
      </w:r>
      <w:r w:rsidR="007A52F5">
        <w:t>verfahren bei Vorhaben im Außen</w:t>
      </w:r>
      <w:r>
        <w:t>bereich) zu erhalten.</w:t>
      </w:r>
    </w:p>
    <w:p w:rsidR="004E2F84" w:rsidRDefault="004E2F84">
      <w:bookmarkStart w:id="102" w:name="Frage_Nr_50_Ende"/>
      <w:bookmarkEnd w:id="10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4E9B" w:rsidTr="00474E9B">
        <w:tc>
          <w:tcPr>
            <w:tcW w:w="1854" w:type="dxa"/>
          </w:tcPr>
          <w:p w:rsidR="00474E9B" w:rsidRDefault="00474E9B" w:rsidP="00474E9B">
            <w:pPr>
              <w:pStyle w:val="LTAnfrageInitiator"/>
            </w:pPr>
            <w:r>
              <w:lastRenderedPageBreak/>
              <w:t>Abgeordnete</w:t>
            </w:r>
            <w:r>
              <w:rPr>
                <w:b/>
              </w:rPr>
              <w:br/>
              <w:t>Ruth</w:t>
            </w:r>
            <w:r>
              <w:rPr>
                <w:b/>
              </w:rPr>
              <w:br/>
              <w:t>Müller</w:t>
            </w:r>
            <w:r>
              <w:rPr>
                <w:b/>
              </w:rPr>
              <w:br/>
            </w:r>
            <w:r>
              <w:t>(SPD)</w:t>
            </w:r>
            <w:bookmarkStart w:id="103" w:name="Frage_Nr_51"/>
            <w:bookmarkEnd w:id="103"/>
          </w:p>
        </w:tc>
        <w:tc>
          <w:tcPr>
            <w:tcW w:w="5762" w:type="dxa"/>
          </w:tcPr>
          <w:p w:rsidR="00474E9B" w:rsidRPr="00E85D1C" w:rsidRDefault="00474E9B" w:rsidP="00E85D1C">
            <w:pPr>
              <w:pStyle w:val="LTAnfrageText"/>
            </w:pPr>
            <w:r w:rsidRPr="00E85D1C">
              <w:t>Ich frage die Staatsregierung, wie viele Schadensmeldungen für unwetterbedingte Aufwuchs- und Ertragsschäden sind von landwirtschaftlichen Betriebe in Bayern aufgrund der Starkregen- und Hagelvorfälle in 2021 gemeldet worden (bitte Angaben unterteilt nach Regierungsbezirken und Landkreisen sowie mit Auflistung der kalkulierten Schadenshöhe in Relation zur tatsächlich gewährten Ausgleichszahlung)? </w:t>
            </w:r>
          </w:p>
        </w:tc>
        <w:tc>
          <w:tcPr>
            <w:tcW w:w="5762" w:type="dxa"/>
          </w:tcPr>
          <w:p w:rsidR="00474E9B" w:rsidRDefault="00474E9B" w:rsidP="00474E9B">
            <w:pPr>
              <w:pStyle w:val="LTAnfrageText"/>
            </w:pPr>
          </w:p>
        </w:tc>
      </w:tr>
    </w:tbl>
    <w:p w:rsidR="004E2F84" w:rsidRDefault="004E2F84" w:rsidP="004E2F84">
      <w:pPr>
        <w:pStyle w:val="LTUeberschrAntwortRessort"/>
      </w:pPr>
      <w:r>
        <w:t>Antwort des Staatsministeriums für Ernährung, Landwirtschaft und Forsten</w:t>
      </w:r>
    </w:p>
    <w:p w:rsidR="004E2F84" w:rsidRDefault="004E2F84" w:rsidP="00770146">
      <w:pPr>
        <w:pStyle w:val="LTAntwortRessortText"/>
      </w:pPr>
      <w:r>
        <w:t>Vor dem Hintergrund des Kabinettsbeschlusses vom 28. März 2018 hat das St</w:t>
      </w:r>
      <w:r w:rsidR="00770146">
        <w:t>aatsministerium für Ernährung, Landwirtschaft und Forsten</w:t>
      </w:r>
      <w:r>
        <w:t xml:space="preserve"> keine diesbezüglichen Abfragen bei den Bezirksregierungen und </w:t>
      </w:r>
      <w:r w:rsidR="00770146">
        <w:t>Ämter</w:t>
      </w:r>
      <w:r w:rsidR="00AD1F73">
        <w:t>n</w:t>
      </w:r>
      <w:r w:rsidR="00770146">
        <w:t xml:space="preserve"> für Ernährung, Landwirtschaft und Forsten (</w:t>
      </w:r>
      <w:r>
        <w:t>ÄELF</w:t>
      </w:r>
      <w:r w:rsidR="00770146">
        <w:t>)</w:t>
      </w:r>
      <w:r>
        <w:t xml:space="preserve"> beauftragt. Nach dem vorgenannten Beschluss werden ab dem 1. Juli 2019 keine staatlichen ad hoc-Hi</w:t>
      </w:r>
      <w:r w:rsidR="00DD22CE">
        <w:t>lfen mehr gewährt, wenn sich Ge</w:t>
      </w:r>
      <w:r>
        <w:t>schädigte gegen das jeweilige Risiko hätten versichern können, dies aber nicht getan haben.</w:t>
      </w:r>
    </w:p>
    <w:p w:rsidR="004E2F84" w:rsidRDefault="004E2F84" w:rsidP="004E2F84">
      <w:pPr>
        <w:pStyle w:val="LTAntwortRessortText"/>
      </w:pPr>
      <w:r>
        <w:t>Mehrgefahrenversicherungen sind inzwischen auch für landwirtschaftliche und gärtnerische Produkte am Markt erhältlich. Speziell für Hagel, der in den letzten Wochen in verschiedenen Reg</w:t>
      </w:r>
      <w:r w:rsidR="00DD22CE">
        <w:t>ionen für den Großteil der Schä</w:t>
      </w:r>
      <w:r>
        <w:t>den an landwirtschaftlichen Kulturen veran</w:t>
      </w:r>
      <w:r w:rsidR="00DD22CE">
        <w:t>twortlich war, bieten die Versi</w:t>
      </w:r>
      <w:r>
        <w:t>cherungsunternehmen seit rund 100 Jahren entsprechende Policen an. Daher</w:t>
      </w:r>
      <w:r w:rsidR="00DD22CE">
        <w:t xml:space="preserve"> </w:t>
      </w:r>
      <w:r>
        <w:t>gab es bei Hagelschäden in der Vergangenheit auch noch nie staatliche Schadensausgleichszahlungen.</w:t>
      </w:r>
    </w:p>
    <w:p w:rsidR="004E2F84" w:rsidRDefault="004E2F84" w:rsidP="004E2F84">
      <w:pPr>
        <w:pStyle w:val="LTAntwortRessortText"/>
      </w:pPr>
      <w:r>
        <w:t>Für die Zukunft sollen in Bayern die landwir</w:t>
      </w:r>
      <w:r w:rsidR="00DD22CE">
        <w:t>tschaftlichen Betriebe dabei un</w:t>
      </w:r>
      <w:r>
        <w:t>terstützt werden, eigene Risikovorsorge zu betreiben. In diesem Jahr wird bei den Sonderkulturen Obst und Wein damit gestartet, den Abschluss von Mehrgefahrenversicherungen staatlich zu bezuschussen. Mit Blick auf die neue EU-Förderperiode ist beabsichtigt, die</w:t>
      </w:r>
      <w:r w:rsidR="00DD22CE">
        <w:t>ses Modell auch auf andere land</w:t>
      </w:r>
      <w:r>
        <w:t>wirtschaftliche Kulturen auszuweiten.</w:t>
      </w:r>
    </w:p>
    <w:p w:rsidR="004E2F84" w:rsidRDefault="004E2F84">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4E9B" w:rsidTr="00474E9B">
        <w:tc>
          <w:tcPr>
            <w:tcW w:w="1883" w:type="dxa"/>
          </w:tcPr>
          <w:p w:rsidR="00474E9B" w:rsidRDefault="00474E9B" w:rsidP="00474E9B">
            <w:pPr>
              <w:pStyle w:val="LTAnfrageInitiator"/>
            </w:pPr>
            <w:r>
              <w:lastRenderedPageBreak/>
              <w:t>Abgeordnete</w:t>
            </w:r>
            <w:r>
              <w:rPr>
                <w:b/>
              </w:rPr>
              <w:br/>
              <w:t>Gisela</w:t>
            </w:r>
            <w:r>
              <w:rPr>
                <w:b/>
              </w:rPr>
              <w:br/>
              <w:t>Sengl</w:t>
            </w:r>
            <w:r>
              <w:rPr>
                <w:b/>
              </w:rPr>
              <w:br/>
            </w:r>
            <w:r>
              <w:t>(BÜNDNIS 90/DIE GRÜNEN)</w:t>
            </w:r>
            <w:bookmarkStart w:id="105" w:name="Frage_Nr_52"/>
            <w:bookmarkEnd w:id="105"/>
          </w:p>
        </w:tc>
        <w:tc>
          <w:tcPr>
            <w:tcW w:w="5733" w:type="dxa"/>
          </w:tcPr>
          <w:p w:rsidR="00474E9B" w:rsidRPr="00E85D1C" w:rsidRDefault="00474E9B" w:rsidP="00E85D1C">
            <w:pPr>
              <w:pStyle w:val="LTAnfrageText"/>
            </w:pPr>
            <w:r w:rsidRPr="00E85D1C">
              <w:t>Ich frage die Staatsregierung, welche Anforderungen für Betriebe gelten, die die Feldtafel „Hier wirtschaftet ein Öko-Betrieb“ verwenden, ob auch Betriebe, die in der Umstellung sind oder nur einen Teil der Flächen ökologisch bewirtschaften, diese Tafeln verwenden können, und ob die Tafeln für alle Betriebe kostenlos sind?</w:t>
            </w:r>
          </w:p>
        </w:tc>
        <w:tc>
          <w:tcPr>
            <w:tcW w:w="5733" w:type="dxa"/>
          </w:tcPr>
          <w:p w:rsidR="00474E9B" w:rsidRDefault="00474E9B" w:rsidP="00474E9B">
            <w:pPr>
              <w:pStyle w:val="LTAnfrageText"/>
            </w:pPr>
          </w:p>
        </w:tc>
      </w:tr>
    </w:tbl>
    <w:p w:rsidR="004E2F84" w:rsidRDefault="004E2F84" w:rsidP="004E2F84">
      <w:pPr>
        <w:pStyle w:val="LTUeberschrAntwortRessort"/>
      </w:pPr>
      <w:r>
        <w:t>Antwort des Staatsministeriums für Ernährung, Landwirtschaft und Forsten</w:t>
      </w:r>
    </w:p>
    <w:p w:rsidR="004E2F84" w:rsidRDefault="004E2F84" w:rsidP="004E2F84">
      <w:pPr>
        <w:pStyle w:val="LTAntwortRessortText"/>
      </w:pPr>
      <w:r>
        <w:t xml:space="preserve">Das erfolgreichste Instrument in der bayerischen Agrarumweltpolitik ist das Kulturlandschaftsprogramm (KULAP). Jeder zweite Landwirt in Bayern nimmt daran teil und leistet so einen aktiven Beitrag </w:t>
      </w:r>
      <w:r w:rsidR="00DD22CE">
        <w:t>zum Erhalt der Arten</w:t>
      </w:r>
      <w:r>
        <w:t>vielfalt und zum Schutz der natürlichen Lebensgrundlagen.</w:t>
      </w:r>
    </w:p>
    <w:p w:rsidR="004E2F84" w:rsidRDefault="004E2F84" w:rsidP="004E2F84">
      <w:pPr>
        <w:pStyle w:val="LTAntwortRessortText"/>
      </w:pPr>
      <w:r>
        <w:t>Zur Erhöhung der Sichtbarkeit und Wirksamkeit wurden Feldtafeln zum KULAP und zur Wildlebensraumberatung entwickelt, die Landwirte entlang von gut frequentierten Feld- und Radwegen aufstellen können und sollen. Die Kernbotschaften der Schilder sind: La</w:t>
      </w:r>
      <w:r w:rsidR="00DD22CE">
        <w:t>ndwirte tun etwas für Artenviel</w:t>
      </w:r>
      <w:r>
        <w:t>falt, Boden, Wasser und Klima. Dabei wer</w:t>
      </w:r>
      <w:r w:rsidR="00DD22CE">
        <w:t>den sie durch das Staatsministe</w:t>
      </w:r>
      <w:r>
        <w:t>rium im Rahmen des KULAP unterstützt.</w:t>
      </w:r>
    </w:p>
    <w:p w:rsidR="004E2F84" w:rsidRDefault="004E2F84" w:rsidP="004E2F84">
      <w:pPr>
        <w:pStyle w:val="LTAntwortRessortText"/>
      </w:pPr>
      <w:r>
        <w:t>Die Feldtafeln wurden bewusst mit großen Bildern und wenig Text gestaltet, damit sie auch Radfahrern beim Vorbeifahr</w:t>
      </w:r>
      <w:r w:rsidR="00DD22CE">
        <w:t>en auffallen. Vertiefende Infor</w:t>
      </w:r>
      <w:r>
        <w:t>mationen lassen sich über einen auf den Tafeln angebrachten QR-Code und die Homepage direkt abrufen.</w:t>
      </w:r>
    </w:p>
    <w:p w:rsidR="004E2F84" w:rsidRDefault="00AD1F73" w:rsidP="002E0C62">
      <w:pPr>
        <w:pStyle w:val="LTAntwortRessortText"/>
      </w:pPr>
      <w:r>
        <w:t>Ab sofort können Landwirtinnen und Landwirte, die am KULAP teilnehmen, vons</w:t>
      </w:r>
      <w:r w:rsidR="004E2F84">
        <w:t>eiten des zuständigen Amtes für Ernährung, Landwirtschaft und Forsten (AELF) kostenlos Feldtafeln erhalten und die Tafeln an geeigneten Flächen aufstellen. Insgesamt ist eine Stückzahl von 2</w:t>
      </w:r>
      <w:r w:rsidR="002E0C62">
        <w:t> 000 Feldtafeln den Ä</w:t>
      </w:r>
      <w:r w:rsidR="004E2F84">
        <w:t>ELF zur Verfügung gestellt worden.</w:t>
      </w:r>
    </w:p>
    <w:p w:rsidR="004E2F84" w:rsidRDefault="004E2F84" w:rsidP="004E2F84">
      <w:pPr>
        <w:pStyle w:val="LTAntwortRessortText"/>
      </w:pPr>
      <w:r>
        <w:t>Daneben besteht die Möglichkeit, die Taf</w:t>
      </w:r>
      <w:r w:rsidR="0053722F">
        <w:t>eln von der Homepage des Staats</w:t>
      </w:r>
      <w:r w:rsidR="00AD1F73">
        <w:t>ministeriums herunterzu</w:t>
      </w:r>
      <w:r>
        <w:t>laden (</w:t>
      </w:r>
      <w:hyperlink r:id="rId16" w:history="1">
        <w:r w:rsidRPr="002E0C62">
          <w:rPr>
            <w:rStyle w:val="LTHyperlinkZchn"/>
            <w:b w:val="0"/>
          </w:rPr>
          <w:t>https://www.stmelf.bayern.de/agrarpoli-tik/239891/index.php</w:t>
        </w:r>
      </w:hyperlink>
      <w:r>
        <w:t>).</w:t>
      </w:r>
    </w:p>
    <w:p w:rsidR="004E2F84" w:rsidRDefault="004E2F84" w:rsidP="004E2F84">
      <w:pPr>
        <w:pStyle w:val="LTAntwortRessortText"/>
      </w:pPr>
      <w:r>
        <w:t xml:space="preserve">Jeder landwirtschaftliche Betrieb, der nach den Richtlinien des ökologischen Landbaus wirtschaftet und die ökologische Wirtschaftsweise über das Öko-Kontrolldatenblatt gegenüber dem AELF im Rahmen der Förderabwicklung nachweist bzw. an der KULAP-Maßnahme B10 </w:t>
      </w:r>
      <w:r w:rsidR="003F1661">
        <w:t>„</w:t>
      </w:r>
      <w:r>
        <w:t>Ökologischer Landbau</w:t>
      </w:r>
      <w:r w:rsidR="003F1661">
        <w:t>“</w:t>
      </w:r>
      <w:r>
        <w:t xml:space="preserve"> teilnimmt, kann ein Feldschild </w:t>
      </w:r>
      <w:r w:rsidR="003F1661">
        <w:t>„</w:t>
      </w:r>
      <w:r>
        <w:t>Hier wirtschaftet ein Öko-Betrieb</w:t>
      </w:r>
      <w:r w:rsidR="003F1661">
        <w:t>“</w:t>
      </w:r>
      <w:r w:rsidR="0053722F">
        <w:t xml:space="preserve"> kosten</w:t>
      </w:r>
      <w:r>
        <w:t>los erhalten, sofern dieses Feldschild beim AELF vorrätig ist. Betriebe in Umstellung wirtschaften ebenfalls nach den Richtlinien des ökologischen Landbaus.</w:t>
      </w:r>
    </w:p>
    <w:p w:rsidR="004E2F84" w:rsidRDefault="004E2F84">
      <w:bookmarkStart w:id="106" w:name="Frage_Nr_52_Ende"/>
      <w:bookmarkEnd w:id="10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474E9B" w:rsidTr="00474E9B">
        <w:tc>
          <w:tcPr>
            <w:tcW w:w="1896" w:type="dxa"/>
          </w:tcPr>
          <w:p w:rsidR="00474E9B" w:rsidRDefault="00474E9B" w:rsidP="00474E9B">
            <w:pPr>
              <w:pStyle w:val="LTAnfrageInitiator"/>
            </w:pPr>
            <w:r>
              <w:lastRenderedPageBreak/>
              <w:t>Abgeordneter</w:t>
            </w:r>
            <w:r>
              <w:rPr>
                <w:b/>
              </w:rPr>
              <w:br/>
              <w:t>Christoph</w:t>
            </w:r>
            <w:r>
              <w:rPr>
                <w:b/>
              </w:rPr>
              <w:br/>
              <w:t>Skutella</w:t>
            </w:r>
            <w:r>
              <w:rPr>
                <w:b/>
              </w:rPr>
              <w:br/>
            </w:r>
            <w:r>
              <w:t>(FDP)</w:t>
            </w:r>
            <w:bookmarkStart w:id="107" w:name="Frage_Nr_53"/>
            <w:bookmarkEnd w:id="107"/>
          </w:p>
        </w:tc>
        <w:tc>
          <w:tcPr>
            <w:tcW w:w="5720" w:type="dxa"/>
          </w:tcPr>
          <w:p w:rsidR="00474E9B" w:rsidRPr="00E85D1C" w:rsidRDefault="00474E9B" w:rsidP="00E85D1C">
            <w:pPr>
              <w:pStyle w:val="LTAnfrageText"/>
            </w:pPr>
            <w:r w:rsidRPr="00E85D1C">
              <w:t>Ich frage die Staatsregierung, wie steht sie zu dem Vorschlag, den landwirtschaftlichen Betrieben Planungssicherheit zu gewährleisten beim tierwohlgerechten Umbau der Nutztierhaltung nach den Empfehlungen der Borchert-Kommission durch ein Finanzierungsmodell, das über staatliche Verträge abgesichert werden soll, und welche Vorteile sieht die Staatsregierung dabei gegenüber anderen Finanzierungsmodellen?</w:t>
            </w:r>
          </w:p>
        </w:tc>
        <w:tc>
          <w:tcPr>
            <w:tcW w:w="5720" w:type="dxa"/>
          </w:tcPr>
          <w:p w:rsidR="00474E9B" w:rsidRDefault="00474E9B" w:rsidP="00474E9B">
            <w:pPr>
              <w:pStyle w:val="LTAnfrageText"/>
            </w:pPr>
          </w:p>
        </w:tc>
      </w:tr>
    </w:tbl>
    <w:p w:rsidR="004E2F84" w:rsidRDefault="004E2F84" w:rsidP="004E2F84">
      <w:pPr>
        <w:pStyle w:val="LTUeberschrAntwortRessort"/>
      </w:pPr>
      <w:r>
        <w:t>Antwort des Staatsministeriums für Ernährung, Landwirtschaft und Forsten</w:t>
      </w:r>
    </w:p>
    <w:p w:rsidR="004E2F84" w:rsidRDefault="004E2F84" w:rsidP="004E2F84">
      <w:pPr>
        <w:pStyle w:val="LTAntwortRessortText"/>
      </w:pPr>
      <w:r>
        <w:t>Das Kompetenznetzwerk Nutztierhaltung (sog. Borchert-Kommission) hat Mitte Februar 2020 seine Empfehlungen</w:t>
      </w:r>
      <w:r w:rsidR="00E365B7">
        <w:t xml:space="preserve"> vorgelegt und empfiehlt den Um</w:t>
      </w:r>
      <w:r>
        <w:t>bau der Nutztierhaltung in Deutschland. Di</w:t>
      </w:r>
      <w:r w:rsidR="00E365B7">
        <w:t>e mit der Verbesserung der Nutz</w:t>
      </w:r>
      <w:r>
        <w:t>tierhaltung verbundenen höheren Kosten</w:t>
      </w:r>
      <w:r w:rsidR="00E365B7">
        <w:t xml:space="preserve"> können nach Auffassung der Bor</w:t>
      </w:r>
      <w:r>
        <w:t>chert-Kommission auf absehbare Zeit nich</w:t>
      </w:r>
      <w:r w:rsidR="00E365B7">
        <w:t>t allein mit marktbasierten Maß</w:t>
      </w:r>
      <w:r>
        <w:t>nahmen (höhere Preise für besonders tier</w:t>
      </w:r>
      <w:r w:rsidR="00E365B7">
        <w:t>gerecht erzeugte Produkte) abge</w:t>
      </w:r>
      <w:r>
        <w:t>deckt werden. Das Kompetenznetzwerk schlägt deshalb vor, den Erzeugern die höheren Kosten tiergerechter Haltungsverfahren durch Tierwohlprämien (zur Abdeckung der höheren laufenden Ko</w:t>
      </w:r>
      <w:r w:rsidR="00E365B7">
        <w:t>sten) und durch Investitionsför</w:t>
      </w:r>
      <w:r>
        <w:t>dermaßnahmen zu einem</w:t>
      </w:r>
      <w:r w:rsidR="004A7E4D">
        <w:t xml:space="preserve"> Anteil von insgesamt etwa 80 bis </w:t>
      </w:r>
      <w:r>
        <w:t xml:space="preserve">90 </w:t>
      </w:r>
      <w:r w:rsidR="003F1661">
        <w:t>Prozent</w:t>
      </w:r>
      <w:r w:rsidR="00E365B7">
        <w:t xml:space="preserve"> auszuglei</w:t>
      </w:r>
      <w:r>
        <w:t>chen.</w:t>
      </w:r>
    </w:p>
    <w:p w:rsidR="004E2F84" w:rsidRDefault="004E2F84" w:rsidP="004E2F84">
      <w:pPr>
        <w:pStyle w:val="LTAntwortRessortText"/>
      </w:pPr>
      <w:r>
        <w:t>Investitionen in besonders tiergerechte Stall</w:t>
      </w:r>
      <w:r w:rsidR="00E365B7">
        <w:t>ungen, die deutlich über die ge</w:t>
      </w:r>
      <w:r>
        <w:t>setzlichen Vorgaben hinausgehen, müsse</w:t>
      </w:r>
      <w:r w:rsidR="00E365B7">
        <w:t>n über einen langen Zeitraum ab</w:t>
      </w:r>
      <w:r>
        <w:t>geschrieben werden. Landwirte können da</w:t>
      </w:r>
      <w:r w:rsidR="00E365B7">
        <w:t>her nur dann in solche Stallsys</w:t>
      </w:r>
      <w:r>
        <w:t>teme nachhaltig investieren, wenn sie die Sicherheit haben, dass ihnen die höheren laufenden Kosten in der Produktion auch entsprechend langfristig entlohnt werden.</w:t>
      </w:r>
    </w:p>
    <w:p w:rsidR="004E2F84" w:rsidRDefault="004E2F84" w:rsidP="00FC56C7">
      <w:pPr>
        <w:pStyle w:val="LTAntwortRessortText"/>
        <w:spacing w:before="0"/>
      </w:pPr>
      <w:r>
        <w:t xml:space="preserve">Eine am 02.03.2021 vorgelegte Machbarkeitsstudie hat insbesondere auch zu Fragen der Finanzierung des Umbaus der Tierhaltung Stellung bezogen und entsprechende Modelle für eine Umsetzung bewertet. Dabei sind unter anderem folgende wesentlichen Aspekte zu </w:t>
      </w:r>
      <w:r w:rsidR="00E365B7">
        <w:t>beachten: die politische Festle</w:t>
      </w:r>
      <w:r>
        <w:t>gung auf eine staatliche Finanzierungsquelle</w:t>
      </w:r>
      <w:r w:rsidR="00E365B7">
        <w:t xml:space="preserve"> und für den potenziellen Inves</w:t>
      </w:r>
      <w:r>
        <w:t>tor die Sicherstellung der Finanzierung übe</w:t>
      </w:r>
      <w:r w:rsidR="00E365B7">
        <w:t>r einen der Investition angemes</w:t>
      </w:r>
      <w:r>
        <w:t>senen Zeitraum. Um letzteres Ziel zu er</w:t>
      </w:r>
      <w:r w:rsidR="00BE361C">
        <w:t>reichen und trotz des Haushalts</w:t>
      </w:r>
      <w:r>
        <w:t>rechts des Gesetzgebers ausreichend Finanzierungssicherheit für Investoren zu schaffen, dürfte ein Vertragsmodell, ve</w:t>
      </w:r>
      <w:r w:rsidR="00E365B7">
        <w:t>rgleichbar den mehrjährigen För</w:t>
      </w:r>
      <w:r>
        <w:t xml:space="preserve">dermaßnahmen beim Kulturlandschafts- oder Vertragsnaturschutzprogramm, das passende Instrument sein. Zur rechtssicheren Umsetzung eines solchen Vertragsmodells bedarf es aller </w:t>
      </w:r>
      <w:r w:rsidR="00E365B7">
        <w:t>Voraussicht nach einer bundesge</w:t>
      </w:r>
      <w:r>
        <w:t xml:space="preserve">setzlichen Rechtsgrundlage. Noch offen ist die Frage, wie der Mittelbedarf für die staatliche Förderung finanziert werden </w:t>
      </w:r>
      <w:r w:rsidR="00E365B7">
        <w:t>soll. In der Machbarkeitsstu</w:t>
      </w:r>
      <w:r>
        <w:t>die prioritär vorgeschlagen wurden die Al</w:t>
      </w:r>
      <w:r w:rsidR="00E365B7">
        <w:t xml:space="preserve">ternativen Tierwohlabgabe, </w:t>
      </w:r>
      <w:r w:rsidR="00BE361C">
        <w:t xml:space="preserve">die </w:t>
      </w:r>
      <w:r w:rsidR="00E365B7">
        <w:t>Anhe</w:t>
      </w:r>
      <w:r>
        <w:t>bung des Mehrwertsteuersatzes für tier</w:t>
      </w:r>
      <w:r w:rsidR="00E365B7">
        <w:t xml:space="preserve">ische Produkte und </w:t>
      </w:r>
      <w:r w:rsidR="00BE361C">
        <w:t xml:space="preserve">die </w:t>
      </w:r>
      <w:r w:rsidR="00E365B7">
        <w:t>Ergänzungsab</w:t>
      </w:r>
      <w:r>
        <w:t>gabe Tierwohl. Grundsätzlich denkbar wäre auch eine Finanzierung aus dem bestehenden Bundeshaushalt oder über ein Umlagemodell vergleichbar dem E</w:t>
      </w:r>
      <w:r w:rsidR="00BE361C">
        <w:t>rneuerbaren-</w:t>
      </w:r>
      <w:r w:rsidR="004A7E4D">
        <w:t>Energien-Gesetz</w:t>
      </w:r>
      <w:r>
        <w:t>.</w:t>
      </w:r>
    </w:p>
    <w:p w:rsidR="004E2F84" w:rsidRDefault="004E2F84" w:rsidP="00FC56C7">
      <w:pPr>
        <w:pStyle w:val="LTAntwortRessortText"/>
        <w:spacing w:before="0"/>
      </w:pPr>
      <w:r>
        <w:t>Die Staatsregierung hat sich klar zum Umbau der Tierhaltung in Anlehnung an die Vorschläge des Kompetenznetzwerkes Nutztierhaltung bekannt. Mit entsprechend positiven Beschlüssen auch des Deutschen Bundestages, des Bundesrates und der Agrarministerkonferenz besteht ein breiter politischer Konsens zur Umsetzung der Vorschläge. Über den weiteren Weg sowie über Umsetzungsdetails, die für ein Gelingen von erheblicher Bedeutung sind, wird nach der Bundestagswahl unter einem neuen Bundestag und einer neuen Bundesregierung weiter beraten werden.</w:t>
      </w:r>
    </w:p>
    <w:p w:rsidR="004E2F84" w:rsidRDefault="004E2F84" w:rsidP="004E2F84">
      <w:pPr>
        <w:pStyle w:val="LTAntwortRessortText"/>
      </w:pPr>
      <w:r>
        <w:lastRenderedPageBreak/>
        <w:t>Unzweifelhaft ist, dass die Tierhalter in Deutschland ohne die notwendige Planungssicherheit und ohne klares politisches Bekenntnis samt konkreter Umsetzungsinstrumente zum Umbau der Ti</w:t>
      </w:r>
      <w:r w:rsidR="00E365B7">
        <w:t>erhaltung (einschl. entsprechen</w:t>
      </w:r>
      <w:r>
        <w:t>der Förderung) nicht investieren werden und die Gefahr besteht, dass die Tierhaltung aus Deutschland abwandert.</w:t>
      </w:r>
    </w:p>
    <w:p w:rsidR="004E2F84" w:rsidRDefault="004E2F84">
      <w:bookmarkStart w:id="108" w:name="Frage_Nr_53_Ende"/>
      <w:bookmarkEnd w:id="108"/>
      <w:r>
        <w:br w:type="page"/>
      </w:r>
    </w:p>
    <w:p w:rsidR="004E2F84" w:rsidRDefault="004E2F84" w:rsidP="004E2F84">
      <w:pPr>
        <w:pStyle w:val="LTUeberschrRessort"/>
      </w:pPr>
      <w:r>
        <w:lastRenderedPageBreak/>
        <w:t>Geschäftsbereich des Staatsministeriums für Familie, Arbeit und Soziales</w:t>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474E9B" w:rsidTr="00474E9B">
        <w:tc>
          <w:tcPr>
            <w:tcW w:w="1860" w:type="dxa"/>
          </w:tcPr>
          <w:p w:rsidR="00474E9B" w:rsidRDefault="00474E9B" w:rsidP="00474E9B">
            <w:pPr>
              <w:pStyle w:val="LTAnfrageInitiator"/>
            </w:pPr>
            <w:r>
              <w:t>Abgeordneter</w:t>
            </w:r>
            <w:r>
              <w:rPr>
                <w:b/>
              </w:rPr>
              <w:br/>
              <w:t>Christian</w:t>
            </w:r>
            <w:r>
              <w:rPr>
                <w:b/>
              </w:rPr>
              <w:br/>
              <w:t>Flisek</w:t>
            </w:r>
            <w:r>
              <w:rPr>
                <w:b/>
              </w:rPr>
              <w:br/>
            </w:r>
            <w:r>
              <w:t>(SPD)</w:t>
            </w:r>
            <w:bookmarkStart w:id="109" w:name="Frage_Nr_54"/>
            <w:bookmarkEnd w:id="109"/>
          </w:p>
        </w:tc>
        <w:tc>
          <w:tcPr>
            <w:tcW w:w="5756" w:type="dxa"/>
          </w:tcPr>
          <w:p w:rsidR="00474E9B" w:rsidRPr="00E85D1C" w:rsidRDefault="00474E9B" w:rsidP="00BE361C">
            <w:pPr>
              <w:pStyle w:val="LTAnfrageText"/>
            </w:pPr>
            <w:r w:rsidRPr="00E85D1C">
              <w:t xml:space="preserve">Ich frage die Staatsregierung, welche konkreten Pläne hat sie mit Blick auf die Ausbreitung der Delta-Variante und </w:t>
            </w:r>
            <w:r w:rsidR="00BE361C">
              <w:t xml:space="preserve">dem </w:t>
            </w:r>
            <w:r w:rsidRPr="00E85D1C">
              <w:t>damit einhergehend</w:t>
            </w:r>
            <w:r w:rsidR="00BE361C">
              <w:t>en</w:t>
            </w:r>
            <w:r w:rsidRPr="00E85D1C">
              <w:t xml:space="preserve"> erhöhte</w:t>
            </w:r>
            <w:r w:rsidR="00BB327F">
              <w:t>n</w:t>
            </w:r>
            <w:r w:rsidRPr="00E85D1C">
              <w:t xml:space="preserve"> Ansteckungsrisiko auch für kleinere Kinder für die Zeit nach den Sommerferien für die Kita (bleiben diese geöffnet</w:t>
            </w:r>
            <w:r w:rsidR="00BE361C">
              <w:t xml:space="preserve"> oder welche Pläne gibt es, ggf</w:t>
            </w:r>
            <w:r w:rsidRPr="00E85D1C">
              <w:t>. zu einem Stufenplan zurückzukehren) und welche weiteren Maßnahmen will sie ergreifen, um eine Öffnung der Kitas und damit das Kinderrecht auf Bildung sicherzustellen, bspw. eine Testpflicht für das Kita-Personal oder auch eine Ausweitung des Testkonzepts für Kinder?</w:t>
            </w:r>
          </w:p>
        </w:tc>
        <w:tc>
          <w:tcPr>
            <w:tcW w:w="5756"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Aktuell gilt, dass die Kindertageseinrichtungen und Kindertagespflegestellen</w:t>
      </w:r>
      <w:r w:rsidR="000F07D0">
        <w:t xml:space="preserve"> </w:t>
      </w:r>
      <w:r>
        <w:t>bis zu einer 7-Tage-Inzidenz von 100 von allen Kindern im Regelbetrieb</w:t>
      </w:r>
      <w:r w:rsidR="000F07D0">
        <w:t xml:space="preserve"> </w:t>
      </w:r>
      <w:r>
        <w:t>besucht werden können. Steigt die 7-Tage-Inzidenz auf einen</w:t>
      </w:r>
      <w:r w:rsidR="000F07D0">
        <w:t xml:space="preserve"> </w:t>
      </w:r>
      <w:r>
        <w:t>Wert zwischen 100 und 165, müssen die Kinder in festen Gruppen</w:t>
      </w:r>
      <w:r w:rsidR="000F07D0">
        <w:t xml:space="preserve"> </w:t>
      </w:r>
      <w:r>
        <w:t>betreut werden, es können jedoch weiterhin alle Kinder ihre Kinderbetreuungseinrichtung besuchen. Ab einer 7-Tage-Inzidenz von</w:t>
      </w:r>
      <w:r w:rsidR="000F07D0">
        <w:t xml:space="preserve"> </w:t>
      </w:r>
      <w:r>
        <w:t>165 greift der sogenannte Notbetrieb. Im Notbetrieb werden die Kinder</w:t>
      </w:r>
      <w:r w:rsidR="000F07D0">
        <w:t xml:space="preserve"> </w:t>
      </w:r>
      <w:r>
        <w:t>betreut, deren Eltern eine Kindertagesbetreuung nicht anderweitig sicherstellen</w:t>
      </w:r>
      <w:r w:rsidR="000F07D0">
        <w:t xml:space="preserve"> </w:t>
      </w:r>
      <w:r>
        <w:t>können. Kinder, deren Betreuung zur Sicherstellung des</w:t>
      </w:r>
      <w:r w:rsidR="000F07D0">
        <w:t xml:space="preserve"> </w:t>
      </w:r>
      <w:r>
        <w:t>Kindeswohls vom zuständigen Jugendamt angeordnet wurde, Kinder,</w:t>
      </w:r>
      <w:r w:rsidR="000F07D0">
        <w:t xml:space="preserve"> </w:t>
      </w:r>
      <w:r>
        <w:t>deren Eltern Anspruch auf Hilfen zur Erziehung haben sowie Kinder mit</w:t>
      </w:r>
      <w:r w:rsidR="000F07D0">
        <w:t xml:space="preserve"> </w:t>
      </w:r>
      <w:r>
        <w:t>(drohender) Behinderung können stets betreut werden.</w:t>
      </w:r>
    </w:p>
    <w:p w:rsidR="004E2F84" w:rsidRDefault="004E2F84" w:rsidP="004E2F84">
      <w:pPr>
        <w:pStyle w:val="LTAntwortRessortText"/>
      </w:pPr>
      <w:r>
        <w:t>Die Staatsregierung sorgt mit einem umfangreichen Maßnahmenpaket</w:t>
      </w:r>
      <w:r w:rsidR="00372E8C">
        <w:t xml:space="preserve"> </w:t>
      </w:r>
      <w:r>
        <w:t>für einen sicheren Kita-Betrieb: Der Freistaat hat Hygienemaßnahmen</w:t>
      </w:r>
      <w:r w:rsidR="00372E8C">
        <w:t xml:space="preserve"> </w:t>
      </w:r>
      <w:r>
        <w:t>sowie die Anschaffung von CO</w:t>
      </w:r>
      <w:r w:rsidRPr="004A7E4D">
        <w:rPr>
          <w:vertAlign w:val="subscript"/>
        </w:rPr>
        <w:t>2</w:t>
      </w:r>
      <w:r>
        <w:t>-Sensoren und mobilen</w:t>
      </w:r>
      <w:r w:rsidR="00372E8C">
        <w:t xml:space="preserve"> </w:t>
      </w:r>
      <w:r>
        <w:t>Luftreinigungsgeräten in Kindertageseinrichtungen, Großtagespflegestellen</w:t>
      </w:r>
      <w:r w:rsidR="00372E8C">
        <w:t xml:space="preserve"> </w:t>
      </w:r>
      <w:r>
        <w:t xml:space="preserve">und Heilpädagogischen Tagesstätten </w:t>
      </w:r>
      <w:r w:rsidR="0012010C">
        <w:t xml:space="preserve">(HPT) </w:t>
      </w:r>
      <w:r>
        <w:t>bereits mit insgesamt</w:t>
      </w:r>
      <w:r w:rsidR="00372E8C">
        <w:t xml:space="preserve"> </w:t>
      </w:r>
      <w:r>
        <w:t>rund 23 Mio. Euro unterstützt. Aktuell stimmt die Staatsregierung Eckpunkte</w:t>
      </w:r>
      <w:r w:rsidR="00372E8C">
        <w:t xml:space="preserve"> </w:t>
      </w:r>
      <w:r>
        <w:t>für ein erneutes Förderprogramm für mobile Luftreinigungsgeräte</w:t>
      </w:r>
      <w:r w:rsidR="00372E8C">
        <w:t xml:space="preserve"> </w:t>
      </w:r>
      <w:r>
        <w:t>ab. Die Beschäftigten in der Kindertagesbetreuung sowie die betreuten</w:t>
      </w:r>
      <w:r w:rsidR="00372E8C">
        <w:t xml:space="preserve"> </w:t>
      </w:r>
      <w:r>
        <w:t>Kinder haben außerdem die Möglichkeit, sich regelmäßig und</w:t>
      </w:r>
      <w:r w:rsidR="00372E8C">
        <w:t xml:space="preserve"> </w:t>
      </w:r>
      <w:r>
        <w:t>kostenfrei mittels vom Freistaat zur Verfügung gestellten Antigen-Selbsttests auf eine Coronavirus-Infektion zu testen. Der Rahmenhygieneplan</w:t>
      </w:r>
      <w:r w:rsidR="00372E8C">
        <w:t xml:space="preserve"> </w:t>
      </w:r>
      <w:r>
        <w:t>Kindertagesbetreuung und HPT, der bereits jetzt fortlaufend</w:t>
      </w:r>
      <w:r w:rsidR="00372E8C">
        <w:t xml:space="preserve"> </w:t>
      </w:r>
      <w:r>
        <w:t>an die sich verändernden Rahmenbedingungen angepasst wird, gibt</w:t>
      </w:r>
      <w:r w:rsidR="00372E8C">
        <w:t xml:space="preserve"> </w:t>
      </w:r>
      <w:r>
        <w:t>den Kindertagesbetreuungseinrichtungen einen Leitfaden an die Hand,</w:t>
      </w:r>
      <w:r w:rsidR="00372E8C">
        <w:t xml:space="preserve"> </w:t>
      </w:r>
      <w:r>
        <w:t>der den Kita-Betrieb so sicher wie möglich gestaltet. Sofern weitere Anpassungen</w:t>
      </w:r>
      <w:r w:rsidR="00372E8C">
        <w:t xml:space="preserve"> </w:t>
      </w:r>
      <w:r>
        <w:t>des Rahmenhygieneplans im Hinblick auf die Ausbreitung</w:t>
      </w:r>
      <w:r w:rsidR="00372E8C">
        <w:t xml:space="preserve"> </w:t>
      </w:r>
      <w:r w:rsidR="0012010C">
        <w:t>d</w:t>
      </w:r>
      <w:r>
        <w:t>er Delta-Variante erforderlich sind, werden diese in Abstimmung mit</w:t>
      </w:r>
      <w:r w:rsidR="00372E8C">
        <w:t xml:space="preserve"> </w:t>
      </w:r>
      <w:r>
        <w:t>dem Staatsministerium für Gesundheit und Pflege zu gegebener</w:t>
      </w:r>
      <w:r w:rsidR="00372E8C">
        <w:t xml:space="preserve"> </w:t>
      </w:r>
      <w:r>
        <w:t>Zeit entsprechend vorgenommen.</w:t>
      </w:r>
    </w:p>
    <w:p w:rsidR="004E2F84" w:rsidRDefault="004E2F84">
      <w:bookmarkStart w:id="110" w:name="Frage_Nr_54_Ende"/>
      <w:bookmarkEnd w:id="110"/>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474E9B" w:rsidTr="00474E9B">
        <w:tc>
          <w:tcPr>
            <w:tcW w:w="1871" w:type="dxa"/>
          </w:tcPr>
          <w:p w:rsidR="00474E9B" w:rsidRDefault="00474E9B" w:rsidP="00474E9B">
            <w:pPr>
              <w:pStyle w:val="LTAnfrageInitiator"/>
            </w:pPr>
            <w:r>
              <w:lastRenderedPageBreak/>
              <w:t>Abgeordnete</w:t>
            </w:r>
            <w:r>
              <w:rPr>
                <w:b/>
              </w:rPr>
              <w:br/>
              <w:t>Natascha</w:t>
            </w:r>
            <w:r>
              <w:rPr>
                <w:b/>
              </w:rPr>
              <w:br/>
              <w:t>Kohnen</w:t>
            </w:r>
            <w:r>
              <w:rPr>
                <w:b/>
              </w:rPr>
              <w:br/>
            </w:r>
            <w:r>
              <w:t>(SPD)</w:t>
            </w:r>
            <w:bookmarkStart w:id="111" w:name="Frage_Nr_55"/>
            <w:bookmarkEnd w:id="111"/>
          </w:p>
        </w:tc>
        <w:tc>
          <w:tcPr>
            <w:tcW w:w="5745" w:type="dxa"/>
          </w:tcPr>
          <w:p w:rsidR="00474E9B" w:rsidRPr="00E85D1C" w:rsidRDefault="00474E9B" w:rsidP="00E85D1C">
            <w:pPr>
              <w:pStyle w:val="LTAnfrageText"/>
            </w:pPr>
            <w:r w:rsidRPr="00E85D1C">
              <w:t>Ich frage die Staatsregierung, welche Kenntnis hat sie über die Auswirkungen der Coronakrise auf die Obdach- und Wohnungslosigkeit in Bayern (Zahlen bitte möglichst aufgeschlüsselt nach Kommunen angeben), wann wurde die letzte bayernweite Erhebung dazu durchgeführt und wird die Vorstellung des nächsten Bayerischen Sozialberichts (der letzte stammt aus dem Jahr 2017) unter dem Eindruck der Coronakrise vorgezogen? </w:t>
            </w:r>
          </w:p>
        </w:tc>
        <w:tc>
          <w:tcPr>
            <w:tcW w:w="5745"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Entsprechend</w:t>
      </w:r>
      <w:r w:rsidR="00662292">
        <w:t xml:space="preserve"> der Beschlüsse des </w:t>
      </w:r>
      <w:r>
        <w:t>Landtags wird die</w:t>
      </w:r>
      <w:r w:rsidR="00662292">
        <w:t xml:space="preserve"> </w:t>
      </w:r>
      <w:r>
        <w:t>Staatsregierung noch in dieser Legislaturperiode den Fünften Bericht</w:t>
      </w:r>
      <w:r w:rsidR="00662292">
        <w:t xml:space="preserve"> der </w:t>
      </w:r>
      <w:r>
        <w:t>Staatsregierung zur sozialen Lage in Bayern vorlegen.</w:t>
      </w:r>
      <w:r w:rsidR="00662292">
        <w:t xml:space="preserve"> </w:t>
      </w:r>
    </w:p>
    <w:p w:rsidR="004E2F84" w:rsidRDefault="004E2F84" w:rsidP="00FC56C7">
      <w:pPr>
        <w:pStyle w:val="LTAntwortRessortText"/>
        <w:spacing w:before="0"/>
      </w:pPr>
      <w:r>
        <w:t xml:space="preserve">Um teilweise statistische Daten zu den Auswirkungen der </w:t>
      </w:r>
      <w:r w:rsidR="003F1661">
        <w:t>Coronapandemie</w:t>
      </w:r>
      <w:r w:rsidR="00662292">
        <w:t xml:space="preserve"> </w:t>
      </w:r>
      <w:r>
        <w:t>berücksichtigen zu können, soll dieser Bericht nach derzeitigen</w:t>
      </w:r>
      <w:r w:rsidR="00662292">
        <w:t xml:space="preserve"> </w:t>
      </w:r>
      <w:r>
        <w:t>Planungen dem Landtag im ersten Halbjahr 2022 vorgelegt werden.</w:t>
      </w:r>
    </w:p>
    <w:p w:rsidR="004E2F84" w:rsidRDefault="004E2F84" w:rsidP="004E2F84">
      <w:pPr>
        <w:pStyle w:val="LTAntwortRessortText"/>
      </w:pPr>
      <w:r>
        <w:t>Die letzte bayernweite Erhebung zur Wohnungslosigkeit wurde zum</w:t>
      </w:r>
      <w:r w:rsidR="00662292">
        <w:t xml:space="preserve"> </w:t>
      </w:r>
      <w:r>
        <w:t>Stichtag 30.06.2017 durchgeführt. Aktuellere Angaben zur Wohnungslosigkeit</w:t>
      </w:r>
      <w:r w:rsidR="00662292">
        <w:t xml:space="preserve"> </w:t>
      </w:r>
      <w:r>
        <w:t>in den 25 kreisfreien Städten Bayerns sind für den kommenden</w:t>
      </w:r>
      <w:r w:rsidR="00662292">
        <w:t xml:space="preserve"> </w:t>
      </w:r>
      <w:r>
        <w:t>Sozialbericht vorgesehen. Die nächste flächendeckende Erhebung</w:t>
      </w:r>
      <w:r w:rsidR="00662292">
        <w:t xml:space="preserve"> </w:t>
      </w:r>
      <w:r>
        <w:t>für Bayern wird im Zuge der ersten deutschlandweiten Statistik untergebrachter</w:t>
      </w:r>
      <w:r w:rsidR="00662292">
        <w:t xml:space="preserve"> </w:t>
      </w:r>
      <w:r>
        <w:t>wohnungsloser Personen zum Stichtag 31.01.2022 vom</w:t>
      </w:r>
      <w:r w:rsidR="00662292">
        <w:t xml:space="preserve"> </w:t>
      </w:r>
      <w:r>
        <w:t>Statistischen Bundesamt durchgeführt werden.</w:t>
      </w:r>
    </w:p>
    <w:p w:rsidR="004E2F84" w:rsidRDefault="004E2F84">
      <w:bookmarkStart w:id="112" w:name="Frage_Nr_55_Ende"/>
      <w:bookmarkEnd w:id="11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474E9B" w:rsidTr="00474E9B">
        <w:tc>
          <w:tcPr>
            <w:tcW w:w="1875" w:type="dxa"/>
          </w:tcPr>
          <w:p w:rsidR="00474E9B" w:rsidRDefault="00474E9B" w:rsidP="00474E9B">
            <w:pPr>
              <w:pStyle w:val="LTAnfrageInitiator"/>
            </w:pPr>
            <w:r>
              <w:lastRenderedPageBreak/>
              <w:t>Abgeordneter</w:t>
            </w:r>
            <w:r>
              <w:rPr>
                <w:b/>
              </w:rPr>
              <w:br/>
              <w:t>Sebastian</w:t>
            </w:r>
            <w:r>
              <w:rPr>
                <w:b/>
              </w:rPr>
              <w:br/>
              <w:t>Körber</w:t>
            </w:r>
            <w:r>
              <w:rPr>
                <w:b/>
              </w:rPr>
              <w:br/>
            </w:r>
            <w:r>
              <w:t>(FDP)</w:t>
            </w:r>
            <w:bookmarkStart w:id="113" w:name="Frage_Nr_56"/>
            <w:bookmarkEnd w:id="113"/>
          </w:p>
        </w:tc>
        <w:tc>
          <w:tcPr>
            <w:tcW w:w="5741" w:type="dxa"/>
          </w:tcPr>
          <w:p w:rsidR="00474E9B" w:rsidRPr="00E85D1C" w:rsidRDefault="00474E9B" w:rsidP="00E85D1C">
            <w:pPr>
              <w:pStyle w:val="LTAnfrageText"/>
            </w:pPr>
            <w:r w:rsidRPr="00E85D1C">
              <w:t>Vor dem Hintergrund, dass gerade junge queere Menschen aufgrund von Diskriminierung und Minderheitenstress einer erhöhten Gefahr ausgesetzt sind, psychisch zu erkranken und ein vielfach höheres Suizid-Risiko haben als andere Gleichaltrige, sowie vor dem Hintergrund einer Untersuchung des Universitätsklinikums Hamburg-Eppendorf, der zufolge zwei Drittel aller Kinder und Jugendlichen in Deutschland während der Coronakrise seelische Belastungen verspüren, von einer verminderten Lebensqualität, einem geringeren psychischen Wohlbefinden und einem verschlechterten Familienklima insgesamt berichten, frage ich die Staatsregierung, welche Erkenntnisse sie über die Situation queerer Jugendliche in Bayern in der Coronakrise hat, welche Hilfsangebote bzgl. der besonderen Belastungen queerer Jugendliche in der Coronakrise aufgelegt wurden und welche dieser Angebote dauerhaft verstetigt werden sollen?</w:t>
            </w:r>
          </w:p>
        </w:tc>
        <w:tc>
          <w:tcPr>
            <w:tcW w:w="5741"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Die</w:t>
      </w:r>
      <w:r w:rsidR="00662292">
        <w:t xml:space="preserve"> </w:t>
      </w:r>
      <w:r>
        <w:t>Staatsregierung hat keine Erkenntnisse über die spezifische</w:t>
      </w:r>
      <w:r w:rsidR="00593216">
        <w:t xml:space="preserve"> </w:t>
      </w:r>
      <w:r>
        <w:t>Situation queerer Jugend</w:t>
      </w:r>
      <w:r w:rsidR="00593216">
        <w:t>licher in Bayern in der Coronak</w:t>
      </w:r>
      <w:r>
        <w:t>rise.</w:t>
      </w:r>
    </w:p>
    <w:p w:rsidR="004E2F84" w:rsidRDefault="004E2F84" w:rsidP="00FC56C7">
      <w:pPr>
        <w:pStyle w:val="LTAntwortRessortText"/>
        <w:spacing w:before="0"/>
      </w:pPr>
      <w:r>
        <w:t>Es wurden keine Hilfsangebote speziell für queere Jugendliche bzgl.</w:t>
      </w:r>
      <w:r w:rsidR="00593216">
        <w:t xml:space="preserve"> </w:t>
      </w:r>
      <w:r>
        <w:t>besond</w:t>
      </w:r>
      <w:r w:rsidR="004A7E4D">
        <w:t>erer Belastungen in der Coronak</w:t>
      </w:r>
      <w:r>
        <w:t>rise aufgelegt.</w:t>
      </w:r>
    </w:p>
    <w:p w:rsidR="004E2F84" w:rsidRDefault="004E2F84" w:rsidP="004E2F84">
      <w:pPr>
        <w:pStyle w:val="LTAntwortRessortText"/>
      </w:pPr>
      <w:r>
        <w:t>Um die Auswirkungen der Pandemie auf Kinder und Jugendliche abzufedern,</w:t>
      </w:r>
      <w:r w:rsidR="00593216">
        <w:t xml:space="preserve"> </w:t>
      </w:r>
      <w:r>
        <w:t>hat das Staatsministerium für Familie, Arbeit und Soziales</w:t>
      </w:r>
      <w:r w:rsidR="00593216">
        <w:t xml:space="preserve"> </w:t>
      </w:r>
      <w:r>
        <w:t>(StMAS) allerdings gemeinsam mit dem Staatsministerium für Gesundheit</w:t>
      </w:r>
      <w:r w:rsidR="00593216">
        <w:t xml:space="preserve"> </w:t>
      </w:r>
      <w:r>
        <w:t>und Pflege (StMGP) sowie dem Staatsministerium des Innern, für</w:t>
      </w:r>
      <w:r w:rsidR="00593216">
        <w:t xml:space="preserve"> </w:t>
      </w:r>
      <w:r>
        <w:t>Sport und Integration (StMI) ein Konzept erarbeitet, wie Kinder und Jugendliche</w:t>
      </w:r>
      <w:r w:rsidR="00593216">
        <w:t xml:space="preserve"> </w:t>
      </w:r>
      <w:r>
        <w:t>durch zusätzliche Maßnahmen bei der Bewältigung der Auswirkungen</w:t>
      </w:r>
      <w:r w:rsidR="00593216">
        <w:t xml:space="preserve"> </w:t>
      </w:r>
      <w:r>
        <w:t>der Pandemie noch stärker unterstützt werden können.</w:t>
      </w:r>
    </w:p>
    <w:p w:rsidR="004E2F84" w:rsidRDefault="004E2F84" w:rsidP="004E2F84">
      <w:pPr>
        <w:pStyle w:val="LTAntwortRessortText"/>
      </w:pPr>
      <w:r>
        <w:t>Zudem baut die Staatsregierung derzeit das Beratungs</w:t>
      </w:r>
      <w:r w:rsidR="003E0F9F">
        <w:t xml:space="preserve">- </w:t>
      </w:r>
      <w:r>
        <w:t>und</w:t>
      </w:r>
      <w:r w:rsidR="003E0F9F">
        <w:t xml:space="preserve"> </w:t>
      </w:r>
      <w:r>
        <w:t>Unterstützungsangebot für alle LSBTIQ-Personen, also auch für</w:t>
      </w:r>
      <w:r w:rsidR="003E0F9F">
        <w:t xml:space="preserve"> </w:t>
      </w:r>
      <w:r>
        <w:t>Jugendliche, aus. Bestehende und erfahrene Einrichtungen werden mit</w:t>
      </w:r>
      <w:r w:rsidR="003E0F9F">
        <w:t xml:space="preserve"> </w:t>
      </w:r>
      <w:r>
        <w:t>ihrer Kompetenz und Expertise eingebunden.</w:t>
      </w:r>
    </w:p>
    <w:p w:rsidR="004E2F84" w:rsidRDefault="004E2F84" w:rsidP="00FC56C7">
      <w:pPr>
        <w:pStyle w:val="LTAntwortRessortText"/>
        <w:spacing w:before="0"/>
      </w:pPr>
      <w:r>
        <w:t>Ziel ist es unter anderem, die Beratungsangebote im ländlichen Bereich</w:t>
      </w:r>
      <w:r w:rsidR="003E0F9F">
        <w:t xml:space="preserve"> </w:t>
      </w:r>
      <w:r>
        <w:t>auszubauen und bayernweite und regionale Akteure in der Beratung,</w:t>
      </w:r>
      <w:r w:rsidR="003E0F9F">
        <w:t xml:space="preserve"> </w:t>
      </w:r>
      <w:r>
        <w:t>Weiterbildung und Arbeit mit LSBTIQ-Personen zu vernetzen.</w:t>
      </w:r>
    </w:p>
    <w:p w:rsidR="004E2F84" w:rsidRDefault="004E2F84" w:rsidP="004E2F84">
      <w:pPr>
        <w:pStyle w:val="LTAntwortRessortText"/>
      </w:pPr>
      <w:r>
        <w:t>Außerdem soll das Fortbildungsangebot für Fachkräfte, die in LSBTIQ</w:t>
      </w:r>
      <w:r w:rsidR="003E0F9F">
        <w:t>-</w:t>
      </w:r>
      <w:r>
        <w:t>relevanten</w:t>
      </w:r>
      <w:r w:rsidR="003E0F9F">
        <w:t xml:space="preserve"> </w:t>
      </w:r>
      <w:r>
        <w:t>Bereichen tätig sind, erweitert werden. Hierbei sollen im</w:t>
      </w:r>
      <w:r w:rsidR="003E0F9F">
        <w:t xml:space="preserve"> </w:t>
      </w:r>
      <w:r>
        <w:t>ersten Schritt Einrichtungen und Fachkräfte fortgebildet werden, die im</w:t>
      </w:r>
      <w:r w:rsidR="003E0F9F">
        <w:t xml:space="preserve"> </w:t>
      </w:r>
      <w:r>
        <w:t>Jugendbereich tätig sind, um gerade queere Jugendliche geeignet unterstützen</w:t>
      </w:r>
      <w:r w:rsidR="003E0F9F">
        <w:t xml:space="preserve"> </w:t>
      </w:r>
      <w:r>
        <w:t>zu können.</w:t>
      </w:r>
    </w:p>
    <w:p w:rsidR="004E2F84" w:rsidRDefault="004E2F84" w:rsidP="004E2F84">
      <w:pPr>
        <w:pStyle w:val="LTAntwortRessortText"/>
      </w:pPr>
      <w:r>
        <w:t>Unabhängig von Corona steht im Bereich der Kinder- und Jugendhilfe</w:t>
      </w:r>
      <w:r w:rsidR="001F4379">
        <w:t xml:space="preserve"> </w:t>
      </w:r>
      <w:r>
        <w:t>Kindern, Jugendlichen und ihren Eltern bei individuellen und familienbezogenen</w:t>
      </w:r>
      <w:r w:rsidR="003E0F9F">
        <w:t xml:space="preserve"> </w:t>
      </w:r>
      <w:r>
        <w:t>Problemen ein breites Angebot an Information, Beratung</w:t>
      </w:r>
      <w:r w:rsidR="001F4379">
        <w:t xml:space="preserve"> </w:t>
      </w:r>
      <w:r>
        <w:t>und Unterstützung zur Verfügung, auch im Zusammenhang mit besonderen</w:t>
      </w:r>
      <w:r w:rsidR="001F4379">
        <w:t xml:space="preserve"> </w:t>
      </w:r>
      <w:r>
        <w:t>Problemstellungen der gegenständlichen Zielgruppe. Zentrale</w:t>
      </w:r>
      <w:r w:rsidR="001F4379">
        <w:t xml:space="preserve"> </w:t>
      </w:r>
      <w:r>
        <w:t>Anlaufstellen zur Unterstützung und Beratung von Kindern, Jugendlichen</w:t>
      </w:r>
      <w:r w:rsidR="001F4379">
        <w:t xml:space="preserve"> </w:t>
      </w:r>
      <w:r>
        <w:t>und ihren Familien sind die 96 bayerischen Jugendämter, die sich</w:t>
      </w:r>
      <w:r w:rsidR="001F4379">
        <w:t xml:space="preserve"> </w:t>
      </w:r>
      <w:r>
        <w:t>in allen Arbeitsfeldern der Kinder- und Jugendhilfe engagieren, um</w:t>
      </w:r>
      <w:r w:rsidR="001F4379">
        <w:t xml:space="preserve"> </w:t>
      </w:r>
      <w:r>
        <w:t>günstige Rahmenbedingungen für ein gelingendes Aufwachsen junger</w:t>
      </w:r>
      <w:r w:rsidR="001F4379">
        <w:t xml:space="preserve"> </w:t>
      </w:r>
      <w:r>
        <w:t xml:space="preserve">Menschen zu schaffen. Zur </w:t>
      </w:r>
      <w:r>
        <w:lastRenderedPageBreak/>
        <w:t>qualifizierten K</w:t>
      </w:r>
      <w:r w:rsidR="001F4379">
        <w:t>lärung und Bewältigung indi</w:t>
      </w:r>
      <w:r>
        <w:t>vidueller und familienbezogener Probleme können sich junge Menschen</w:t>
      </w:r>
      <w:r w:rsidR="001F4379">
        <w:t xml:space="preserve"> </w:t>
      </w:r>
      <w:r>
        <w:t>und ihre Familien insbesondere auch an die von der Staatsregierung</w:t>
      </w:r>
      <w:r w:rsidR="001F4379">
        <w:t xml:space="preserve"> </w:t>
      </w:r>
      <w:r>
        <w:t>geförderten und flächendeckend in Bayern vorhandenen rund</w:t>
      </w:r>
      <w:r w:rsidR="001F4379">
        <w:t xml:space="preserve"> </w:t>
      </w:r>
      <w:r>
        <w:t>180 Erziehungsberatungsstellen wenden.</w:t>
      </w:r>
    </w:p>
    <w:p w:rsidR="004E2F84" w:rsidRDefault="004E2F84">
      <w:bookmarkStart w:id="114" w:name="Frage_Nr_56_Ende"/>
      <w:bookmarkEnd w:id="1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74E9B" w:rsidTr="00474E9B">
        <w:tc>
          <w:tcPr>
            <w:tcW w:w="1883" w:type="dxa"/>
          </w:tcPr>
          <w:p w:rsidR="00474E9B" w:rsidRDefault="00474E9B" w:rsidP="00474E9B">
            <w:pPr>
              <w:pStyle w:val="LTAnfrageInitiator"/>
            </w:pPr>
            <w:r>
              <w:lastRenderedPageBreak/>
              <w:t>Abgeordnete</w:t>
            </w:r>
            <w:r>
              <w:rPr>
                <w:b/>
              </w:rPr>
              <w:br/>
              <w:t>Eva</w:t>
            </w:r>
            <w:r>
              <w:rPr>
                <w:b/>
              </w:rPr>
              <w:br/>
              <w:t>Lettenbauer</w:t>
            </w:r>
            <w:r>
              <w:rPr>
                <w:b/>
              </w:rPr>
              <w:br/>
            </w:r>
            <w:r>
              <w:t>(BÜNDNIS 90/DIE GRÜNEN)</w:t>
            </w:r>
            <w:bookmarkStart w:id="115" w:name="Frage_Nr_57"/>
            <w:bookmarkEnd w:id="115"/>
          </w:p>
        </w:tc>
        <w:tc>
          <w:tcPr>
            <w:tcW w:w="5733" w:type="dxa"/>
          </w:tcPr>
          <w:p w:rsidR="00474E9B" w:rsidRPr="00C84F2D" w:rsidRDefault="00474E9B" w:rsidP="00C84F2D">
            <w:pPr>
              <w:pStyle w:val="LTAnfrageText"/>
            </w:pPr>
            <w:r w:rsidRPr="00C84F2D">
              <w:t>Nachdem im Koalitionsvertrag folgende Absichtserklärung festgehalten wurde: „Wir wollen prüfen, wie wir die Ehrenamtlichen noch besser unterstützen können, etwa durch regionale Ansprechpartner“, frage ich die Staatsregierung, was ist der aktuelle Stand dieser Prüfung bzw. welche Ergebnisse hat die Prüfung ergeben und welche konkreten Maßnahmen wird die Staatsregierung unternehmen, um Ehrenamtliche zu unterstützen?</w:t>
            </w:r>
          </w:p>
        </w:tc>
        <w:tc>
          <w:tcPr>
            <w:tcW w:w="5733"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Die Engagementpolitik der Staatsregierung setzt neben</w:t>
      </w:r>
      <w:r w:rsidR="00615110">
        <w:t xml:space="preserve"> </w:t>
      </w:r>
      <w:r>
        <w:t>einer deutschlandweit einmaligen Infrastruktur und der Stärkung der</w:t>
      </w:r>
      <w:r w:rsidR="00D16832">
        <w:t xml:space="preserve"> </w:t>
      </w:r>
      <w:r>
        <w:t>Anerkennungskultur auf eine beständige Weiterentwicklung des Ehrenamts</w:t>
      </w:r>
      <w:r w:rsidR="000B068A">
        <w:t xml:space="preserve"> </w:t>
      </w:r>
      <w:r>
        <w:t>mit neuen Ideen und Ansätzen.</w:t>
      </w:r>
    </w:p>
    <w:p w:rsidR="004E2F84" w:rsidRDefault="004E2F84" w:rsidP="004E2F84">
      <w:pPr>
        <w:pStyle w:val="LTAntwortRessortText"/>
      </w:pPr>
      <w:r>
        <w:t>Nach dem Koalitionsvertrag von CSU und F</w:t>
      </w:r>
      <w:r w:rsidR="00732175">
        <w:t>REIE WÄHLER</w:t>
      </w:r>
      <w:r>
        <w:t xml:space="preserve"> ist die Staatsregierung aufgerufen zu prüfen, wie die über 5,2 Mio. ehrenamtlich</w:t>
      </w:r>
      <w:r w:rsidR="000B068A">
        <w:t xml:space="preserve"> </w:t>
      </w:r>
      <w:r>
        <w:t>Engagierten in Bayern noch besser unterstützt werden können. Zur</w:t>
      </w:r>
      <w:r w:rsidR="000B068A">
        <w:t xml:space="preserve"> </w:t>
      </w:r>
      <w:r>
        <w:t>Umsetzung hat das Staatsministerium für Familie, Arbeit und Soziales</w:t>
      </w:r>
      <w:r w:rsidR="000B068A">
        <w:t xml:space="preserve"> </w:t>
      </w:r>
      <w:r>
        <w:t>2019 Regionalkonferenzen in den Regierungsbezirken Schwaben, Unterfranken</w:t>
      </w:r>
      <w:r w:rsidR="000B068A">
        <w:t xml:space="preserve"> </w:t>
      </w:r>
      <w:r>
        <w:t>und Oberpfalz durchgeführt. Die weiteren Regionalkonferenzen</w:t>
      </w:r>
      <w:r w:rsidR="000B068A">
        <w:t xml:space="preserve"> </w:t>
      </w:r>
      <w:r>
        <w:t>konnten coronabedingt noch nicht durchgeführt werden.</w:t>
      </w:r>
    </w:p>
    <w:p w:rsidR="004E2F84" w:rsidRDefault="004E2F84" w:rsidP="004E2F84">
      <w:pPr>
        <w:pStyle w:val="LTAntwortRessortText"/>
      </w:pPr>
      <w:r>
        <w:t>Durch diesen engen Dialog zwischen Politik und Zivilgesellschaft soll</w:t>
      </w:r>
      <w:r w:rsidR="000B068A">
        <w:t xml:space="preserve"> </w:t>
      </w:r>
      <w:r>
        <w:t>erreicht werden, dass genau die Maßnahmen umgesetzt werden, die</w:t>
      </w:r>
      <w:r w:rsidR="000B068A">
        <w:t xml:space="preserve"> </w:t>
      </w:r>
      <w:r>
        <w:t>die Ehrenamtlichen vor Ort in ihrem wertvollen Engagement unterstützen</w:t>
      </w:r>
      <w:r w:rsidR="000B068A">
        <w:t xml:space="preserve"> </w:t>
      </w:r>
      <w:r>
        <w:t>können.</w:t>
      </w:r>
    </w:p>
    <w:p w:rsidR="004E2F84" w:rsidRDefault="004E2F84" w:rsidP="004E2F84">
      <w:pPr>
        <w:pStyle w:val="LTAntwortRessortText"/>
      </w:pPr>
      <w:r>
        <w:t>Die einzelnen Regionalkonferenzen wurden von der Landesarbeitsgemeinschaft</w:t>
      </w:r>
      <w:r w:rsidR="000B068A">
        <w:t xml:space="preserve"> </w:t>
      </w:r>
      <w:r>
        <w:t>der Freiwilligen-Agenturen/Freiwilligen-Zentren/Koordinierungszentren</w:t>
      </w:r>
      <w:r w:rsidR="000B068A">
        <w:t xml:space="preserve"> </w:t>
      </w:r>
      <w:r>
        <w:t>Bürgerschaftliches Engagement Bayern e.</w:t>
      </w:r>
      <w:r w:rsidR="004A7E4D">
        <w:t> </w:t>
      </w:r>
      <w:r>
        <w:t>V. (lagfa Bayern)</w:t>
      </w:r>
      <w:r w:rsidR="000B068A">
        <w:t xml:space="preserve"> </w:t>
      </w:r>
      <w:r>
        <w:t>im Auftrag des Staatsministeriums für Familie, Arbeit und Soziales</w:t>
      </w:r>
      <w:r w:rsidR="000B068A">
        <w:t xml:space="preserve"> </w:t>
      </w:r>
      <w:r>
        <w:t>und in Zusammenarbeit mit örtlichen Freiwilligen-Agenturen/Freiwilligen-Zentren/Koordinierungszentren Bürgerschaftliches Engagement</w:t>
      </w:r>
      <w:r w:rsidR="000B068A">
        <w:t xml:space="preserve"> </w:t>
      </w:r>
      <w:r>
        <w:t>durchgeführt.</w:t>
      </w:r>
    </w:p>
    <w:p w:rsidR="004E2F84" w:rsidRDefault="004E2F84" w:rsidP="004E2F84">
      <w:pPr>
        <w:pStyle w:val="LTAntwortRessortText"/>
      </w:pPr>
      <w:r>
        <w:t>In Umsetzung der Ergebnisse der bisherigen Regionalkonferenzen</w:t>
      </w:r>
      <w:r w:rsidR="000B068A">
        <w:t xml:space="preserve"> </w:t>
      </w:r>
      <w:r>
        <w:t>wurde zum 01.01.2021 eine Modellförderung an 19 Standorten in ganz</w:t>
      </w:r>
      <w:r w:rsidR="000B068A">
        <w:t xml:space="preserve"> </w:t>
      </w:r>
      <w:r>
        <w:t>Bayern begonnen, mit der bestehende Einrichtungen für Bürgerschaftliches</w:t>
      </w:r>
      <w:r w:rsidR="000B068A">
        <w:t xml:space="preserve"> </w:t>
      </w:r>
      <w:r>
        <w:t>Engagement (Freiwilligenagenturen, Freiwilligenzentren, Koordinierungszentren</w:t>
      </w:r>
      <w:r w:rsidR="000B068A">
        <w:t xml:space="preserve"> </w:t>
      </w:r>
      <w:r>
        <w:t>Bürgerschaftliches Engagement) zu Zentren für lokales</w:t>
      </w:r>
      <w:r w:rsidR="000B068A">
        <w:t xml:space="preserve"> </w:t>
      </w:r>
      <w:r>
        <w:t>Freiwilligenmanagement ausgebaut werden. Ziel ist es, die bestehenden</w:t>
      </w:r>
      <w:r w:rsidR="000B068A">
        <w:t xml:space="preserve"> </w:t>
      </w:r>
      <w:r>
        <w:t>Einrichtungen für Bürgerschaftliches Engagement in ihrer</w:t>
      </w:r>
      <w:r w:rsidR="000B068A">
        <w:t xml:space="preserve"> </w:t>
      </w:r>
      <w:r>
        <w:t>Funktion als Ansprechpartner und Kümmerer für das Bürgerschaftliche</w:t>
      </w:r>
      <w:r w:rsidR="000B068A">
        <w:t xml:space="preserve"> </w:t>
      </w:r>
      <w:r>
        <w:t>Engagement vor Ort zeitgemäß und nachhaltig zu stärken. Aktuelle</w:t>
      </w:r>
      <w:r w:rsidR="000B068A">
        <w:t xml:space="preserve"> </w:t>
      </w:r>
      <w:r>
        <w:t>Herausforderungen im Bereich Engagement sollen von den Einrichtungen</w:t>
      </w:r>
      <w:r w:rsidR="000B068A">
        <w:t xml:space="preserve"> </w:t>
      </w:r>
      <w:r>
        <w:t>so besser gemeistert werden können. Der Ausbau soll vorrangig in</w:t>
      </w:r>
      <w:r w:rsidR="000B068A">
        <w:t xml:space="preserve"> </w:t>
      </w:r>
      <w:r>
        <w:t>den folgenden Handlungsbereichen erfolgen: Digitalisierung sowie Anpassung</w:t>
      </w:r>
      <w:r w:rsidR="000B068A">
        <w:t xml:space="preserve"> </w:t>
      </w:r>
      <w:r>
        <w:t>an sich ändernde Engagementstrukturen und neue Engagementformen,</w:t>
      </w:r>
      <w:r w:rsidR="000B068A">
        <w:t xml:space="preserve"> </w:t>
      </w:r>
      <w:r>
        <w:t>verstärkte Gewinnung von bislang im Engagement unterrepräsentierten</w:t>
      </w:r>
      <w:r w:rsidR="000B068A">
        <w:t xml:space="preserve"> </w:t>
      </w:r>
      <w:r>
        <w:t>Bevölkerungsgruppen und Corporate Social Responsibility</w:t>
      </w:r>
      <w:r w:rsidR="000B068A">
        <w:t xml:space="preserve"> </w:t>
      </w:r>
      <w:r>
        <w:t>(CSR).</w:t>
      </w:r>
    </w:p>
    <w:p w:rsidR="004E2F84" w:rsidRDefault="004E2F84">
      <w:bookmarkStart w:id="116" w:name="Frage_Nr_57_Ende"/>
      <w:bookmarkEnd w:id="1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74E9B" w:rsidTr="00474E9B">
        <w:tc>
          <w:tcPr>
            <w:tcW w:w="1854" w:type="dxa"/>
          </w:tcPr>
          <w:p w:rsidR="00474E9B" w:rsidRDefault="00474E9B" w:rsidP="00474E9B">
            <w:pPr>
              <w:pStyle w:val="LTAnfrageInitiator"/>
            </w:pPr>
            <w:r>
              <w:lastRenderedPageBreak/>
              <w:t>Abgeordnete</w:t>
            </w:r>
            <w:r>
              <w:rPr>
                <w:b/>
              </w:rPr>
              <w:br/>
              <w:t>Doris</w:t>
            </w:r>
            <w:r>
              <w:rPr>
                <w:b/>
              </w:rPr>
              <w:br/>
              <w:t>Rauscher</w:t>
            </w:r>
            <w:r>
              <w:rPr>
                <w:b/>
              </w:rPr>
              <w:br/>
            </w:r>
            <w:r>
              <w:t>(SPD)</w:t>
            </w:r>
            <w:bookmarkStart w:id="117" w:name="Frage_Nr_58"/>
            <w:bookmarkEnd w:id="117"/>
          </w:p>
        </w:tc>
        <w:tc>
          <w:tcPr>
            <w:tcW w:w="5762" w:type="dxa"/>
          </w:tcPr>
          <w:p w:rsidR="00474E9B" w:rsidRPr="00C84F2D" w:rsidRDefault="00474E9B" w:rsidP="00C84F2D">
            <w:pPr>
              <w:pStyle w:val="LTAnfrageText"/>
            </w:pPr>
            <w:r w:rsidRPr="00C84F2D">
              <w:t xml:space="preserve">Ich frage die Staatsregierung, für wie viele Kita-Kinder wurden seit dem Ende der Pfingstferien Corona-Tests seitens der Apotheken in Bayern aufgrund der von den Kitas ausgegebenen Gutscheine abgegeben, wie hoch ist demnach die Bereitschaft der Eltern, an den freiwilligen Testungen teilzunehmen und wie stellt sie sicher, dass spätestens jetzt, wo Lolli- und Gurgeltests in Drogeriemärkten frei verkäuflich sind, diese gegenüber den </w:t>
            </w:r>
            <w:r w:rsidR="00732175">
              <w:t>„</w:t>
            </w:r>
            <w:r w:rsidRPr="00C84F2D">
              <w:t>Nasenbohrer-Tests</w:t>
            </w:r>
            <w:r w:rsidR="00732175">
              <w:t>“</w:t>
            </w:r>
            <w:r w:rsidRPr="00C84F2D">
              <w:t xml:space="preserve"> des Herstellers Abbott deutlich kindgerechteren Tests seitens der Apotheken ausgegeben werden?</w:t>
            </w:r>
          </w:p>
        </w:tc>
        <w:tc>
          <w:tcPr>
            <w:tcW w:w="5762"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Aktuell liegen dem Staatsministerium für Gesundheit und Pflege die</w:t>
      </w:r>
      <w:r w:rsidR="00E46E30">
        <w:t xml:space="preserve"> </w:t>
      </w:r>
      <w:r>
        <w:t>Abrechnungen der Selbsttests durch die Apotheken noch nicht vollständig</w:t>
      </w:r>
      <w:r w:rsidR="00E46E30">
        <w:t xml:space="preserve"> </w:t>
      </w:r>
      <w:r>
        <w:t>vor, sodass derzeit noch keine Auskunft dazu gegeben werden</w:t>
      </w:r>
      <w:r w:rsidR="00E46E30">
        <w:t xml:space="preserve"> </w:t>
      </w:r>
      <w:r>
        <w:t>kann, wie viele Corona-Tests seitens der Apotheken an die Familien</w:t>
      </w:r>
      <w:r w:rsidR="00E46E30">
        <w:t xml:space="preserve"> </w:t>
      </w:r>
      <w:r>
        <w:t>mittels der Berechtigungsscheine ausgegeben wurden. Die Tests werden</w:t>
      </w:r>
      <w:r w:rsidR="00E46E30">
        <w:t xml:space="preserve"> </w:t>
      </w:r>
      <w:r>
        <w:t>aber sehr gut von den Eltern angenommen, was zahlreiche Rückmeldungen</w:t>
      </w:r>
      <w:r w:rsidR="00E46E30">
        <w:t xml:space="preserve"> </w:t>
      </w:r>
      <w:r>
        <w:t>zeigen. Die Auswahl eines geeigneten, kindgerechten</w:t>
      </w:r>
      <w:r w:rsidR="00E46E30">
        <w:t xml:space="preserve"> </w:t>
      </w:r>
      <w:r>
        <w:t>Tests obliegt den Apothekerinnen und Apothekern, die am besten einschätzen</w:t>
      </w:r>
      <w:r w:rsidR="00E46E30">
        <w:t xml:space="preserve"> </w:t>
      </w:r>
      <w:r>
        <w:t>können, welcher Test für welches Kind geeignet ist.</w:t>
      </w:r>
    </w:p>
    <w:p w:rsidR="004E2F84" w:rsidRDefault="004E2F84">
      <w:bookmarkStart w:id="118" w:name="Frage_Nr_58_Ende"/>
      <w:bookmarkEnd w:id="11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474E9B" w:rsidTr="00474E9B">
        <w:tc>
          <w:tcPr>
            <w:tcW w:w="1856" w:type="dxa"/>
          </w:tcPr>
          <w:p w:rsidR="00474E9B" w:rsidRDefault="00474E9B" w:rsidP="00474E9B">
            <w:pPr>
              <w:pStyle w:val="LTAnfrageInitiator"/>
            </w:pPr>
            <w:r>
              <w:lastRenderedPageBreak/>
              <w:t>Abgeordnete</w:t>
            </w:r>
            <w:r>
              <w:rPr>
                <w:b/>
              </w:rPr>
              <w:br/>
              <w:t>Julika</w:t>
            </w:r>
            <w:r>
              <w:rPr>
                <w:b/>
              </w:rPr>
              <w:br/>
              <w:t>Sandt</w:t>
            </w:r>
            <w:r>
              <w:rPr>
                <w:b/>
              </w:rPr>
              <w:br/>
            </w:r>
            <w:r>
              <w:t>(FDP)</w:t>
            </w:r>
            <w:bookmarkStart w:id="119" w:name="Frage_Nr_59"/>
            <w:bookmarkEnd w:id="119"/>
          </w:p>
        </w:tc>
        <w:tc>
          <w:tcPr>
            <w:tcW w:w="5760" w:type="dxa"/>
          </w:tcPr>
          <w:p w:rsidR="00474E9B" w:rsidRPr="00C84F2D" w:rsidRDefault="00474E9B" w:rsidP="00C84F2D">
            <w:pPr>
              <w:pStyle w:val="LTAnfrageText"/>
            </w:pPr>
            <w:r w:rsidRPr="00C84F2D">
              <w:t>Vor dem Hintergrund der am 31.07.2021 auslaufenden Förderrichtlinie zum infektionsschutzgerechten Lüften des Staatsministeriums für Familie, Arbeit und Soziales frage ich die Staatsregierung, wie viele Kindertageseinrichtungen und Großtagespflegestellen sowie Heilpädagogische Tagesstätten bisher von einer Förderung profitiert haben und mobile Luftreinigungsgeräte und CO</w:t>
            </w:r>
            <w:r w:rsidRPr="004A7E4D">
              <w:rPr>
                <w:vertAlign w:val="subscript"/>
              </w:rPr>
              <w:t>2</w:t>
            </w:r>
            <w:r w:rsidRPr="00C84F2D">
              <w:t>-Sensoren beschafft haben (bitte differenzieren nach mobilen Luftreinigungsgeräten und CO</w:t>
            </w:r>
            <w:r w:rsidRPr="004A7E4D">
              <w:rPr>
                <w:vertAlign w:val="subscript"/>
              </w:rPr>
              <w:t>2</w:t>
            </w:r>
            <w:r w:rsidRPr="00C84F2D">
              <w:t>-Sensoren sowie nach einzelnen Landkreisen), wie hoch die Quote der Einrichtungen ist, die bereits von der Förderung profitiert haben (bitte differenzieren nach einzelnen Landkreisen) und wie viele Mittel über die Förderrichtlinie bereits abgerufen wurden?</w:t>
            </w:r>
          </w:p>
        </w:tc>
        <w:tc>
          <w:tcPr>
            <w:tcW w:w="5760" w:type="dxa"/>
          </w:tcPr>
          <w:p w:rsidR="00474E9B" w:rsidRDefault="00474E9B" w:rsidP="00474E9B">
            <w:pPr>
              <w:pStyle w:val="LTAnfrageText"/>
            </w:pPr>
          </w:p>
        </w:tc>
      </w:tr>
    </w:tbl>
    <w:p w:rsidR="004E2F84" w:rsidRDefault="004E2F84" w:rsidP="004E2F84">
      <w:pPr>
        <w:pStyle w:val="LTUeberschrAntwortRessort"/>
      </w:pPr>
      <w:r>
        <w:t>Antwort des Staatsministeriums für Familie, Arbeit und Soziales</w:t>
      </w:r>
    </w:p>
    <w:p w:rsidR="004E2F84" w:rsidRDefault="004E2F84" w:rsidP="004E2F84">
      <w:pPr>
        <w:pStyle w:val="LTAntwortRessortText"/>
      </w:pPr>
      <w:r>
        <w:t>Angaben dazu, wie viele Kindertageseinrichtungen, Großtagespflegestellen</w:t>
      </w:r>
      <w:r w:rsidR="00E46E30">
        <w:t xml:space="preserve"> </w:t>
      </w:r>
      <w:r>
        <w:t>und Heilpädagogische Tagesstätten in den einzelnen Landkreisen</w:t>
      </w:r>
      <w:r w:rsidR="00E46E30">
        <w:t xml:space="preserve"> </w:t>
      </w:r>
      <w:r>
        <w:t>mobile Luftreinigungsgeräte und CO</w:t>
      </w:r>
      <w:r w:rsidRPr="004A7E4D">
        <w:rPr>
          <w:vertAlign w:val="subscript"/>
        </w:rPr>
        <w:t>2</w:t>
      </w:r>
      <w:r>
        <w:t>-Sensoren beschafft haben,</w:t>
      </w:r>
      <w:r w:rsidR="00E46E30">
        <w:t xml:space="preserve"> </w:t>
      </w:r>
      <w:r>
        <w:t>liegen dem Staatsministerium für Familie, Arbeit und Soziales (StMAS)</w:t>
      </w:r>
      <w:r w:rsidR="00E46E30">
        <w:t xml:space="preserve"> </w:t>
      </w:r>
      <w:r>
        <w:t>nicht vor. Eine Abfrage bei den Kreisverwaltungsbehörden und den Regierungen</w:t>
      </w:r>
      <w:r w:rsidR="00E46E30">
        <w:t xml:space="preserve"> </w:t>
      </w:r>
      <w:r>
        <w:t>war in der Kürze der Zeit nicht darstellbar. Demnach kann</w:t>
      </w:r>
      <w:r w:rsidR="00E46E30">
        <w:t xml:space="preserve"> </w:t>
      </w:r>
      <w:r>
        <w:t>auch keine Quote der bereits geförderten Einrichtungen angegeben</w:t>
      </w:r>
      <w:r w:rsidR="00E46E30">
        <w:t xml:space="preserve"> </w:t>
      </w:r>
      <w:r>
        <w:t>werden.</w:t>
      </w:r>
    </w:p>
    <w:p w:rsidR="004E2F84" w:rsidRDefault="004E2F84" w:rsidP="004E2F84">
      <w:pPr>
        <w:pStyle w:val="LTAntwortRessortText"/>
      </w:pPr>
      <w:r>
        <w:t>Der Bewilligungszeitraum für CO</w:t>
      </w:r>
      <w:r w:rsidRPr="004A7E4D">
        <w:rPr>
          <w:vertAlign w:val="subscript"/>
        </w:rPr>
        <w:t>2</w:t>
      </w:r>
      <w:r>
        <w:t>-Sensoren und mobile Luftreinigungsgeräte</w:t>
      </w:r>
      <w:r w:rsidR="00E46E30">
        <w:t xml:space="preserve"> </w:t>
      </w:r>
      <w:r w:rsidR="00DF4808">
        <w:t>endet zum 31.07.</w:t>
      </w:r>
      <w:r>
        <w:t>2021. Bewilligungsbehörden sind die Kreisverwaltungsbehörden</w:t>
      </w:r>
      <w:r w:rsidR="00E46E30">
        <w:t xml:space="preserve"> </w:t>
      </w:r>
      <w:r>
        <w:t>und die Regierungen. Diese berichten an das</w:t>
      </w:r>
      <w:r w:rsidR="00E46E30">
        <w:t xml:space="preserve"> </w:t>
      </w:r>
      <w:r>
        <w:t>StMAS. Nach derzeitigem Auswertungsstand wurden differenziert nach</w:t>
      </w:r>
      <w:r w:rsidR="00E46E30">
        <w:t xml:space="preserve"> </w:t>
      </w:r>
      <w:r>
        <w:t>Regierungsbezirken insgesamt rund 7,59 Mio. Euro bewilligt.</w:t>
      </w:r>
    </w:p>
    <w:p w:rsidR="004E2F84" w:rsidRDefault="004E2F84" w:rsidP="004E2F84">
      <w:pPr>
        <w:pStyle w:val="LTAntwortRessortText"/>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5"/>
        <w:gridCol w:w="3430"/>
        <w:gridCol w:w="2298"/>
      </w:tblGrid>
      <w:tr w:rsidR="00F90A07" w:rsidTr="00F90A07">
        <w:trPr>
          <w:trHeight w:val="1264"/>
        </w:trPr>
        <w:tc>
          <w:tcPr>
            <w:tcW w:w="1785" w:type="dxa"/>
            <w:shd w:val="clear" w:color="auto" w:fill="D9D9D9"/>
          </w:tcPr>
          <w:p w:rsidR="00F90A07" w:rsidRPr="00F90A07" w:rsidRDefault="00F90A07" w:rsidP="00F90A07">
            <w:pPr>
              <w:pStyle w:val="TableParagraph"/>
              <w:rPr>
                <w:rFonts w:ascii="Arial" w:hAnsi="Arial" w:cs="Arial"/>
                <w:sz w:val="16"/>
              </w:rPr>
            </w:pPr>
          </w:p>
        </w:tc>
        <w:tc>
          <w:tcPr>
            <w:tcW w:w="3430" w:type="dxa"/>
            <w:shd w:val="clear" w:color="auto" w:fill="D9D9D9"/>
          </w:tcPr>
          <w:p w:rsidR="00F90A07" w:rsidRPr="00F90A07" w:rsidRDefault="00F90A07" w:rsidP="00F90A07">
            <w:pPr>
              <w:pStyle w:val="TableParagraph"/>
              <w:spacing w:before="8" w:line="223" w:lineRule="auto"/>
              <w:ind w:left="31" w:firstLine="0"/>
              <w:rPr>
                <w:rFonts w:ascii="Arial" w:hAnsi="Arial" w:cs="Arial"/>
                <w:b/>
                <w:position w:val="2"/>
                <w:sz w:val="16"/>
              </w:rPr>
            </w:pPr>
            <w:r w:rsidRPr="00F90A07">
              <w:rPr>
                <w:rFonts w:ascii="Arial" w:hAnsi="Arial" w:cs="Arial"/>
                <w:b/>
                <w:position w:val="2"/>
                <w:sz w:val="16"/>
              </w:rPr>
              <w:t>CO</w:t>
            </w:r>
            <w:r w:rsidRPr="00DF4808">
              <w:rPr>
                <w:rFonts w:ascii="Arial" w:hAnsi="Arial" w:cs="Arial"/>
                <w:b/>
                <w:position w:val="2"/>
                <w:sz w:val="16"/>
                <w:vertAlign w:val="subscript"/>
              </w:rPr>
              <w:t>2</w:t>
            </w:r>
            <w:r w:rsidRPr="00F90A07">
              <w:rPr>
                <w:rFonts w:ascii="Arial" w:hAnsi="Arial" w:cs="Arial"/>
                <w:b/>
                <w:position w:val="2"/>
                <w:sz w:val="16"/>
              </w:rPr>
              <w:t xml:space="preserve">-Sensoren und mobile </w:t>
            </w:r>
          </w:p>
          <w:p w:rsidR="00F90A07" w:rsidRPr="00F90A07" w:rsidRDefault="00F90A07" w:rsidP="00F90A07">
            <w:pPr>
              <w:pStyle w:val="TableParagraph"/>
              <w:spacing w:before="8" w:line="223" w:lineRule="auto"/>
              <w:ind w:left="31" w:firstLine="0"/>
              <w:rPr>
                <w:rFonts w:ascii="Arial" w:hAnsi="Arial" w:cs="Arial"/>
                <w:b/>
                <w:position w:val="2"/>
                <w:sz w:val="16"/>
              </w:rPr>
            </w:pPr>
            <w:r w:rsidRPr="00F90A07">
              <w:rPr>
                <w:rFonts w:ascii="Arial" w:hAnsi="Arial" w:cs="Arial"/>
                <w:b/>
                <w:position w:val="2"/>
                <w:sz w:val="16"/>
              </w:rPr>
              <w:t>Luftreinigungsgeräte</w:t>
            </w:r>
          </w:p>
          <w:p w:rsidR="00F90A07" w:rsidRPr="00F90A07" w:rsidRDefault="00F90A07" w:rsidP="00F90A07">
            <w:pPr>
              <w:pStyle w:val="TableParagraph"/>
              <w:spacing w:before="1"/>
              <w:ind w:left="31" w:firstLine="0"/>
              <w:rPr>
                <w:rFonts w:ascii="Arial" w:hAnsi="Arial" w:cs="Arial"/>
                <w:b/>
                <w:position w:val="2"/>
                <w:sz w:val="16"/>
              </w:rPr>
            </w:pPr>
            <w:r w:rsidRPr="00F90A07">
              <w:rPr>
                <w:rFonts w:ascii="Arial" w:hAnsi="Arial" w:cs="Arial"/>
                <w:b/>
                <w:position w:val="2"/>
                <w:sz w:val="16"/>
              </w:rPr>
              <w:t>(Kita und Großtagepflege)</w:t>
            </w:r>
          </w:p>
          <w:p w:rsidR="00F90A07" w:rsidRPr="00F90A07" w:rsidRDefault="00F90A07" w:rsidP="00F90A07">
            <w:pPr>
              <w:pStyle w:val="TableParagraph"/>
              <w:spacing w:before="1"/>
              <w:ind w:left="31" w:firstLine="0"/>
              <w:rPr>
                <w:rFonts w:ascii="Arial" w:hAnsi="Arial" w:cs="Arial"/>
                <w:b/>
                <w:position w:val="2"/>
                <w:sz w:val="16"/>
              </w:rPr>
            </w:pPr>
            <w:r w:rsidRPr="00F90A07">
              <w:rPr>
                <w:rFonts w:ascii="Arial" w:hAnsi="Arial" w:cs="Arial"/>
                <w:b/>
                <w:position w:val="2"/>
                <w:sz w:val="16"/>
              </w:rPr>
              <w:t>In Euro</w:t>
            </w:r>
          </w:p>
        </w:tc>
        <w:tc>
          <w:tcPr>
            <w:tcW w:w="2298" w:type="dxa"/>
            <w:shd w:val="clear" w:color="auto" w:fill="D9D9D9"/>
          </w:tcPr>
          <w:p w:rsidR="00F90A07" w:rsidRPr="00F90A07" w:rsidRDefault="00F90A07" w:rsidP="00F90A07">
            <w:pPr>
              <w:pStyle w:val="TableParagraph"/>
              <w:spacing w:before="8"/>
              <w:ind w:left="28" w:firstLine="0"/>
              <w:rPr>
                <w:rFonts w:ascii="Arial" w:hAnsi="Arial" w:cs="Arial"/>
                <w:b/>
                <w:position w:val="2"/>
                <w:sz w:val="16"/>
              </w:rPr>
            </w:pPr>
            <w:r w:rsidRPr="00F90A07">
              <w:rPr>
                <w:rFonts w:ascii="Arial" w:hAnsi="Arial" w:cs="Arial"/>
                <w:b/>
                <w:position w:val="2"/>
                <w:sz w:val="16"/>
              </w:rPr>
              <w:t>CO</w:t>
            </w:r>
            <w:r w:rsidRPr="00DF4808">
              <w:rPr>
                <w:rFonts w:ascii="Arial" w:hAnsi="Arial" w:cs="Arial"/>
                <w:b/>
                <w:position w:val="2"/>
                <w:sz w:val="16"/>
                <w:vertAlign w:val="subscript"/>
              </w:rPr>
              <w:t>2</w:t>
            </w:r>
            <w:r w:rsidRPr="00F90A07">
              <w:rPr>
                <w:rFonts w:ascii="Arial" w:hAnsi="Arial" w:cs="Arial"/>
                <w:b/>
                <w:position w:val="2"/>
                <w:sz w:val="16"/>
              </w:rPr>
              <w:t xml:space="preserve">-Sensoren und mobile </w:t>
            </w:r>
            <w:r>
              <w:rPr>
                <w:rFonts w:ascii="Arial" w:hAnsi="Arial" w:cs="Arial"/>
                <w:b/>
                <w:position w:val="2"/>
                <w:sz w:val="16"/>
              </w:rPr>
              <w:t>Luftrei</w:t>
            </w:r>
            <w:r w:rsidRPr="00F90A07">
              <w:rPr>
                <w:rFonts w:ascii="Arial" w:hAnsi="Arial" w:cs="Arial"/>
                <w:b/>
                <w:position w:val="2"/>
                <w:sz w:val="16"/>
              </w:rPr>
              <w:t>nigungsgeräte</w:t>
            </w:r>
          </w:p>
          <w:p w:rsidR="00F90A07" w:rsidRDefault="00F90A07" w:rsidP="00F90A07">
            <w:pPr>
              <w:pStyle w:val="TableParagraph"/>
              <w:spacing w:before="1"/>
              <w:ind w:left="28" w:right="-290" w:firstLine="0"/>
              <w:rPr>
                <w:rFonts w:ascii="Arial" w:hAnsi="Arial" w:cs="Arial"/>
                <w:b/>
                <w:position w:val="2"/>
                <w:sz w:val="16"/>
              </w:rPr>
            </w:pPr>
            <w:r>
              <w:rPr>
                <w:rFonts w:ascii="Arial" w:hAnsi="Arial" w:cs="Arial"/>
                <w:b/>
                <w:position w:val="2"/>
                <w:sz w:val="16"/>
              </w:rPr>
              <w:t>(Heilpädagogische Tages-</w:t>
            </w:r>
            <w:r>
              <w:rPr>
                <w:rFonts w:ascii="Arial" w:hAnsi="Arial" w:cs="Arial"/>
                <w:b/>
                <w:position w:val="2"/>
                <w:sz w:val="16"/>
              </w:rPr>
              <w:br/>
            </w:r>
            <w:r w:rsidRPr="00F90A07">
              <w:rPr>
                <w:rFonts w:ascii="Arial" w:hAnsi="Arial" w:cs="Arial"/>
                <w:b/>
                <w:position w:val="2"/>
                <w:sz w:val="16"/>
              </w:rPr>
              <w:t>stätten)</w:t>
            </w:r>
          </w:p>
          <w:p w:rsidR="00F90A07" w:rsidRPr="00F90A07" w:rsidRDefault="00F90A07" w:rsidP="00F90A07">
            <w:pPr>
              <w:pStyle w:val="TableParagraph"/>
              <w:spacing w:before="1"/>
              <w:ind w:left="28" w:right="-290" w:firstLine="0"/>
              <w:rPr>
                <w:rFonts w:ascii="Arial" w:hAnsi="Arial" w:cs="Arial"/>
                <w:b/>
                <w:position w:val="2"/>
                <w:sz w:val="16"/>
              </w:rPr>
            </w:pPr>
            <w:r>
              <w:rPr>
                <w:rFonts w:ascii="Arial" w:hAnsi="Arial" w:cs="Arial"/>
                <w:b/>
                <w:position w:val="2"/>
                <w:sz w:val="16"/>
              </w:rPr>
              <w:t>In Euro</w:t>
            </w:r>
          </w:p>
        </w:tc>
      </w:tr>
      <w:tr w:rsidR="00F90A07" w:rsidTr="00F90A07">
        <w:trPr>
          <w:trHeight w:val="254"/>
        </w:trPr>
        <w:tc>
          <w:tcPr>
            <w:tcW w:w="1785" w:type="dxa"/>
            <w:vAlign w:val="center"/>
          </w:tcPr>
          <w:p w:rsidR="00F90A07" w:rsidRPr="00F90A07" w:rsidRDefault="00F90A07" w:rsidP="00F90A07">
            <w:pPr>
              <w:pStyle w:val="TableParagraph"/>
              <w:ind w:left="107"/>
              <w:jc w:val="center"/>
              <w:rPr>
                <w:rFonts w:ascii="Arial" w:hAnsi="Arial" w:cs="Arial"/>
                <w:sz w:val="16"/>
              </w:rPr>
            </w:pPr>
            <w:r w:rsidRPr="00F90A07">
              <w:rPr>
                <w:rFonts w:ascii="Arial" w:hAnsi="Arial" w:cs="Arial"/>
                <w:sz w:val="16"/>
              </w:rPr>
              <w:t>Oberbayern</w:t>
            </w:r>
          </w:p>
        </w:tc>
        <w:tc>
          <w:tcPr>
            <w:tcW w:w="3430" w:type="dxa"/>
            <w:vAlign w:val="center"/>
          </w:tcPr>
          <w:p w:rsidR="00F90A07" w:rsidRPr="00F90A07" w:rsidRDefault="00F90A07" w:rsidP="00F90A07">
            <w:pPr>
              <w:pStyle w:val="TableParagraph"/>
              <w:ind w:right="96"/>
              <w:jc w:val="center"/>
              <w:rPr>
                <w:rFonts w:ascii="Arial" w:hAnsi="Arial" w:cs="Arial"/>
                <w:sz w:val="16"/>
              </w:rPr>
            </w:pPr>
            <w:r w:rsidRPr="00F90A07">
              <w:rPr>
                <w:rFonts w:ascii="Arial" w:hAnsi="Arial" w:cs="Arial"/>
                <w:sz w:val="16"/>
              </w:rPr>
              <w:t xml:space="preserve">2.655.470,63 </w:t>
            </w:r>
            <w:r>
              <w:rPr>
                <w:rFonts w:ascii="Arial" w:hAnsi="Arial" w:cs="Arial"/>
                <w:sz w:val="16"/>
              </w:rPr>
              <w:t xml:space="preserve"> </w:t>
            </w:r>
          </w:p>
        </w:tc>
        <w:tc>
          <w:tcPr>
            <w:tcW w:w="2298" w:type="dxa"/>
            <w:vAlign w:val="center"/>
          </w:tcPr>
          <w:p w:rsidR="00F90A07" w:rsidRPr="00F90A07" w:rsidRDefault="00F90A07" w:rsidP="00F90A07">
            <w:pPr>
              <w:pStyle w:val="TableParagraph"/>
              <w:ind w:right="94"/>
              <w:jc w:val="center"/>
              <w:rPr>
                <w:rFonts w:ascii="Arial" w:hAnsi="Arial" w:cs="Arial"/>
                <w:sz w:val="16"/>
              </w:rPr>
            </w:pPr>
            <w:r w:rsidRPr="00F90A07">
              <w:rPr>
                <w:rFonts w:ascii="Arial" w:hAnsi="Arial" w:cs="Arial"/>
                <w:sz w:val="16"/>
              </w:rPr>
              <w:t xml:space="preserve">131.361,51 </w:t>
            </w:r>
            <w:r>
              <w:rPr>
                <w:rFonts w:ascii="Arial" w:hAnsi="Arial" w:cs="Arial"/>
                <w:sz w:val="16"/>
              </w:rPr>
              <w:t xml:space="preserve"> </w:t>
            </w:r>
          </w:p>
        </w:tc>
      </w:tr>
      <w:tr w:rsidR="00F90A07" w:rsidTr="00F90A07">
        <w:trPr>
          <w:trHeight w:val="251"/>
        </w:trPr>
        <w:tc>
          <w:tcPr>
            <w:tcW w:w="1785" w:type="dxa"/>
            <w:vAlign w:val="center"/>
          </w:tcPr>
          <w:p w:rsidR="00F90A07" w:rsidRPr="00F90A07" w:rsidRDefault="00F90A07" w:rsidP="00F90A07">
            <w:pPr>
              <w:pStyle w:val="TableParagraph"/>
              <w:spacing w:line="232" w:lineRule="exact"/>
              <w:ind w:left="107"/>
              <w:jc w:val="center"/>
              <w:rPr>
                <w:rFonts w:ascii="Arial" w:hAnsi="Arial" w:cs="Arial"/>
                <w:sz w:val="16"/>
              </w:rPr>
            </w:pPr>
            <w:r w:rsidRPr="00F90A07">
              <w:rPr>
                <w:rFonts w:ascii="Arial" w:hAnsi="Arial" w:cs="Arial"/>
                <w:sz w:val="16"/>
              </w:rPr>
              <w:t>Niederbayern</w:t>
            </w:r>
          </w:p>
        </w:tc>
        <w:tc>
          <w:tcPr>
            <w:tcW w:w="3430" w:type="dxa"/>
            <w:vAlign w:val="center"/>
          </w:tcPr>
          <w:p w:rsidR="00F90A07" w:rsidRPr="00F90A07" w:rsidRDefault="00F90A07" w:rsidP="00F90A07">
            <w:pPr>
              <w:pStyle w:val="TableParagraph"/>
              <w:spacing w:line="232" w:lineRule="exact"/>
              <w:ind w:right="96"/>
              <w:jc w:val="center"/>
              <w:rPr>
                <w:rFonts w:ascii="Arial" w:hAnsi="Arial" w:cs="Arial"/>
                <w:sz w:val="16"/>
              </w:rPr>
            </w:pPr>
            <w:r w:rsidRPr="00F90A07">
              <w:rPr>
                <w:rFonts w:ascii="Arial" w:hAnsi="Arial" w:cs="Arial"/>
                <w:sz w:val="16"/>
              </w:rPr>
              <w:t xml:space="preserve">533.341,59 </w:t>
            </w:r>
            <w:r>
              <w:rPr>
                <w:rFonts w:ascii="Arial" w:hAnsi="Arial" w:cs="Arial"/>
                <w:sz w:val="16"/>
              </w:rPr>
              <w:t xml:space="preserve"> </w:t>
            </w:r>
          </w:p>
        </w:tc>
        <w:tc>
          <w:tcPr>
            <w:tcW w:w="2298" w:type="dxa"/>
            <w:vAlign w:val="center"/>
          </w:tcPr>
          <w:p w:rsidR="00F90A07" w:rsidRPr="00F90A07" w:rsidRDefault="00F90A07" w:rsidP="00F90A07">
            <w:pPr>
              <w:pStyle w:val="TableParagraph"/>
              <w:spacing w:line="232" w:lineRule="exact"/>
              <w:ind w:right="94"/>
              <w:jc w:val="center"/>
              <w:rPr>
                <w:rFonts w:ascii="Arial" w:hAnsi="Arial" w:cs="Arial"/>
                <w:sz w:val="16"/>
              </w:rPr>
            </w:pPr>
            <w:r w:rsidRPr="00F90A07">
              <w:rPr>
                <w:rFonts w:ascii="Arial" w:hAnsi="Arial" w:cs="Arial"/>
                <w:sz w:val="16"/>
              </w:rPr>
              <w:t xml:space="preserve">18.550,00 </w:t>
            </w:r>
            <w:r>
              <w:rPr>
                <w:rFonts w:ascii="Arial" w:hAnsi="Arial" w:cs="Arial"/>
                <w:sz w:val="16"/>
              </w:rPr>
              <w:t xml:space="preserve"> </w:t>
            </w:r>
          </w:p>
        </w:tc>
      </w:tr>
      <w:tr w:rsidR="00F90A07" w:rsidTr="00F90A07">
        <w:trPr>
          <w:trHeight w:val="254"/>
        </w:trPr>
        <w:tc>
          <w:tcPr>
            <w:tcW w:w="1785" w:type="dxa"/>
            <w:vAlign w:val="center"/>
          </w:tcPr>
          <w:p w:rsidR="00F90A07" w:rsidRPr="00F90A07" w:rsidRDefault="00F90A07" w:rsidP="00F90A07">
            <w:pPr>
              <w:pStyle w:val="TableParagraph"/>
              <w:ind w:left="107"/>
              <w:jc w:val="center"/>
              <w:rPr>
                <w:rFonts w:ascii="Arial" w:hAnsi="Arial" w:cs="Arial"/>
                <w:sz w:val="16"/>
              </w:rPr>
            </w:pPr>
            <w:r w:rsidRPr="00F90A07">
              <w:rPr>
                <w:rFonts w:ascii="Arial" w:hAnsi="Arial" w:cs="Arial"/>
                <w:sz w:val="16"/>
              </w:rPr>
              <w:t>Oberpfalz</w:t>
            </w:r>
          </w:p>
        </w:tc>
        <w:tc>
          <w:tcPr>
            <w:tcW w:w="3430" w:type="dxa"/>
            <w:vAlign w:val="center"/>
          </w:tcPr>
          <w:p w:rsidR="00F90A07" w:rsidRPr="00F90A07" w:rsidRDefault="00F90A07" w:rsidP="00F90A07">
            <w:pPr>
              <w:pStyle w:val="TableParagraph"/>
              <w:ind w:right="96"/>
              <w:jc w:val="center"/>
              <w:rPr>
                <w:rFonts w:ascii="Arial" w:hAnsi="Arial" w:cs="Arial"/>
                <w:sz w:val="16"/>
              </w:rPr>
            </w:pPr>
            <w:r w:rsidRPr="00F90A07">
              <w:rPr>
                <w:rFonts w:ascii="Arial" w:hAnsi="Arial" w:cs="Arial"/>
                <w:sz w:val="16"/>
              </w:rPr>
              <w:t xml:space="preserve">512.001,01 </w:t>
            </w:r>
            <w:r>
              <w:rPr>
                <w:rFonts w:ascii="Arial" w:hAnsi="Arial" w:cs="Arial"/>
                <w:sz w:val="16"/>
              </w:rPr>
              <w:t xml:space="preserve"> </w:t>
            </w:r>
          </w:p>
        </w:tc>
        <w:tc>
          <w:tcPr>
            <w:tcW w:w="2298" w:type="dxa"/>
            <w:vAlign w:val="center"/>
          </w:tcPr>
          <w:p w:rsidR="00F90A07" w:rsidRPr="00F90A07" w:rsidRDefault="00F90A07" w:rsidP="00F90A07">
            <w:pPr>
              <w:pStyle w:val="TableParagraph"/>
              <w:ind w:right="94"/>
              <w:jc w:val="center"/>
              <w:rPr>
                <w:rFonts w:ascii="Arial" w:hAnsi="Arial" w:cs="Arial"/>
                <w:sz w:val="16"/>
              </w:rPr>
            </w:pPr>
            <w:r w:rsidRPr="00F90A07">
              <w:rPr>
                <w:rFonts w:ascii="Arial" w:hAnsi="Arial" w:cs="Arial"/>
                <w:sz w:val="16"/>
              </w:rPr>
              <w:t xml:space="preserve">11.639,99 </w:t>
            </w:r>
            <w:r>
              <w:rPr>
                <w:rFonts w:ascii="Arial" w:hAnsi="Arial" w:cs="Arial"/>
                <w:sz w:val="16"/>
              </w:rPr>
              <w:t xml:space="preserve"> </w:t>
            </w:r>
          </w:p>
        </w:tc>
      </w:tr>
      <w:tr w:rsidR="00F90A07" w:rsidTr="00F90A07">
        <w:trPr>
          <w:trHeight w:val="254"/>
        </w:trPr>
        <w:tc>
          <w:tcPr>
            <w:tcW w:w="1785" w:type="dxa"/>
            <w:vAlign w:val="center"/>
          </w:tcPr>
          <w:p w:rsidR="00F90A07" w:rsidRPr="00F90A07" w:rsidRDefault="00F90A07" w:rsidP="00F90A07">
            <w:pPr>
              <w:pStyle w:val="TableParagraph"/>
              <w:ind w:left="107"/>
              <w:jc w:val="center"/>
              <w:rPr>
                <w:rFonts w:ascii="Arial" w:hAnsi="Arial" w:cs="Arial"/>
                <w:sz w:val="16"/>
              </w:rPr>
            </w:pPr>
            <w:r w:rsidRPr="00F90A07">
              <w:rPr>
                <w:rFonts w:ascii="Arial" w:hAnsi="Arial" w:cs="Arial"/>
                <w:sz w:val="16"/>
              </w:rPr>
              <w:t>Oberfranken</w:t>
            </w:r>
          </w:p>
        </w:tc>
        <w:tc>
          <w:tcPr>
            <w:tcW w:w="3430" w:type="dxa"/>
            <w:vAlign w:val="center"/>
          </w:tcPr>
          <w:p w:rsidR="00F90A07" w:rsidRPr="00F90A07" w:rsidRDefault="00F90A07" w:rsidP="00F90A07">
            <w:pPr>
              <w:pStyle w:val="TableParagraph"/>
              <w:ind w:right="96"/>
              <w:jc w:val="center"/>
              <w:rPr>
                <w:rFonts w:ascii="Arial" w:hAnsi="Arial" w:cs="Arial"/>
                <w:sz w:val="16"/>
              </w:rPr>
            </w:pPr>
            <w:r w:rsidRPr="00F90A07">
              <w:rPr>
                <w:rFonts w:ascii="Arial" w:hAnsi="Arial" w:cs="Arial"/>
                <w:sz w:val="16"/>
              </w:rPr>
              <w:t xml:space="preserve">535.557,29 </w:t>
            </w:r>
            <w:r>
              <w:rPr>
                <w:rFonts w:ascii="Arial" w:hAnsi="Arial" w:cs="Arial"/>
                <w:sz w:val="16"/>
              </w:rPr>
              <w:t xml:space="preserve"> </w:t>
            </w:r>
          </w:p>
        </w:tc>
        <w:tc>
          <w:tcPr>
            <w:tcW w:w="2298" w:type="dxa"/>
            <w:vAlign w:val="center"/>
          </w:tcPr>
          <w:p w:rsidR="00F90A07" w:rsidRPr="00F90A07" w:rsidRDefault="00F90A07" w:rsidP="00F90A07">
            <w:pPr>
              <w:pStyle w:val="TableParagraph"/>
              <w:ind w:right="94"/>
              <w:jc w:val="center"/>
              <w:rPr>
                <w:rFonts w:ascii="Arial" w:hAnsi="Arial" w:cs="Arial"/>
                <w:sz w:val="16"/>
              </w:rPr>
            </w:pPr>
            <w:r w:rsidRPr="00F90A07">
              <w:rPr>
                <w:rFonts w:ascii="Arial" w:hAnsi="Arial" w:cs="Arial"/>
                <w:sz w:val="16"/>
              </w:rPr>
              <w:t xml:space="preserve">47.912,19 </w:t>
            </w:r>
            <w:r>
              <w:rPr>
                <w:rFonts w:ascii="Arial" w:hAnsi="Arial" w:cs="Arial"/>
                <w:sz w:val="16"/>
              </w:rPr>
              <w:t xml:space="preserve"> </w:t>
            </w:r>
          </w:p>
        </w:tc>
      </w:tr>
      <w:tr w:rsidR="00F90A07" w:rsidTr="00F90A07">
        <w:trPr>
          <w:trHeight w:val="251"/>
        </w:trPr>
        <w:tc>
          <w:tcPr>
            <w:tcW w:w="1785" w:type="dxa"/>
            <w:vAlign w:val="center"/>
          </w:tcPr>
          <w:p w:rsidR="00F90A07" w:rsidRPr="00F90A07" w:rsidRDefault="00F90A07" w:rsidP="00F90A07">
            <w:pPr>
              <w:pStyle w:val="TableParagraph"/>
              <w:spacing w:line="232" w:lineRule="exact"/>
              <w:ind w:left="107"/>
              <w:jc w:val="center"/>
              <w:rPr>
                <w:rFonts w:ascii="Arial" w:hAnsi="Arial" w:cs="Arial"/>
                <w:sz w:val="16"/>
              </w:rPr>
            </w:pPr>
            <w:r w:rsidRPr="00F90A07">
              <w:rPr>
                <w:rFonts w:ascii="Arial" w:hAnsi="Arial" w:cs="Arial"/>
                <w:sz w:val="16"/>
              </w:rPr>
              <w:t>Mittelfranken</w:t>
            </w:r>
          </w:p>
        </w:tc>
        <w:tc>
          <w:tcPr>
            <w:tcW w:w="3430" w:type="dxa"/>
            <w:vAlign w:val="center"/>
          </w:tcPr>
          <w:p w:rsidR="00F90A07" w:rsidRPr="00F90A07" w:rsidRDefault="00F90A07" w:rsidP="00F90A07">
            <w:pPr>
              <w:pStyle w:val="TableParagraph"/>
              <w:spacing w:line="232" w:lineRule="exact"/>
              <w:ind w:right="96"/>
              <w:jc w:val="center"/>
              <w:rPr>
                <w:rFonts w:ascii="Arial" w:hAnsi="Arial" w:cs="Arial"/>
                <w:sz w:val="16"/>
              </w:rPr>
            </w:pPr>
            <w:r w:rsidRPr="00F90A07">
              <w:rPr>
                <w:rFonts w:ascii="Arial" w:hAnsi="Arial" w:cs="Arial"/>
                <w:sz w:val="16"/>
              </w:rPr>
              <w:t xml:space="preserve">1.495.472,55 </w:t>
            </w:r>
            <w:r>
              <w:rPr>
                <w:rFonts w:ascii="Arial" w:hAnsi="Arial" w:cs="Arial"/>
                <w:sz w:val="16"/>
              </w:rPr>
              <w:t xml:space="preserve"> </w:t>
            </w:r>
          </w:p>
        </w:tc>
        <w:tc>
          <w:tcPr>
            <w:tcW w:w="2298" w:type="dxa"/>
            <w:vAlign w:val="center"/>
          </w:tcPr>
          <w:p w:rsidR="00F90A07" w:rsidRPr="00F90A07" w:rsidRDefault="00F90A07" w:rsidP="00F90A07">
            <w:pPr>
              <w:pStyle w:val="TableParagraph"/>
              <w:spacing w:line="232" w:lineRule="exact"/>
              <w:ind w:right="94"/>
              <w:jc w:val="center"/>
              <w:rPr>
                <w:rFonts w:ascii="Arial" w:hAnsi="Arial" w:cs="Arial"/>
                <w:sz w:val="16"/>
              </w:rPr>
            </w:pPr>
            <w:r w:rsidRPr="00F90A07">
              <w:rPr>
                <w:rFonts w:ascii="Arial" w:hAnsi="Arial" w:cs="Arial"/>
                <w:sz w:val="16"/>
              </w:rPr>
              <w:t xml:space="preserve">72.750,00 </w:t>
            </w:r>
            <w:r>
              <w:rPr>
                <w:rFonts w:ascii="Arial" w:hAnsi="Arial" w:cs="Arial"/>
                <w:sz w:val="16"/>
              </w:rPr>
              <w:t xml:space="preserve"> </w:t>
            </w:r>
          </w:p>
        </w:tc>
      </w:tr>
      <w:tr w:rsidR="00F90A07" w:rsidTr="00F90A07">
        <w:trPr>
          <w:trHeight w:val="254"/>
        </w:trPr>
        <w:tc>
          <w:tcPr>
            <w:tcW w:w="1785" w:type="dxa"/>
            <w:vAlign w:val="center"/>
          </w:tcPr>
          <w:p w:rsidR="00F90A07" w:rsidRPr="00F90A07" w:rsidRDefault="00F90A07" w:rsidP="00F90A07">
            <w:pPr>
              <w:pStyle w:val="TableParagraph"/>
              <w:ind w:left="107"/>
              <w:jc w:val="center"/>
              <w:rPr>
                <w:rFonts w:ascii="Arial" w:hAnsi="Arial" w:cs="Arial"/>
                <w:sz w:val="16"/>
              </w:rPr>
            </w:pPr>
            <w:r w:rsidRPr="00F90A07">
              <w:rPr>
                <w:rFonts w:ascii="Arial" w:hAnsi="Arial" w:cs="Arial"/>
                <w:sz w:val="16"/>
              </w:rPr>
              <w:t>Unterfranken</w:t>
            </w:r>
          </w:p>
        </w:tc>
        <w:tc>
          <w:tcPr>
            <w:tcW w:w="3430" w:type="dxa"/>
            <w:vAlign w:val="center"/>
          </w:tcPr>
          <w:p w:rsidR="00F90A07" w:rsidRPr="00F90A07" w:rsidRDefault="00F90A07" w:rsidP="00F90A07">
            <w:pPr>
              <w:pStyle w:val="TableParagraph"/>
              <w:ind w:right="96"/>
              <w:jc w:val="center"/>
              <w:rPr>
                <w:rFonts w:ascii="Arial" w:hAnsi="Arial" w:cs="Arial"/>
                <w:sz w:val="16"/>
              </w:rPr>
            </w:pPr>
            <w:r w:rsidRPr="00F90A07">
              <w:rPr>
                <w:rFonts w:ascii="Arial" w:hAnsi="Arial" w:cs="Arial"/>
                <w:sz w:val="16"/>
              </w:rPr>
              <w:t xml:space="preserve">622.626,72 </w:t>
            </w:r>
            <w:r>
              <w:rPr>
                <w:rFonts w:ascii="Arial" w:hAnsi="Arial" w:cs="Arial"/>
                <w:sz w:val="16"/>
              </w:rPr>
              <w:t xml:space="preserve"> </w:t>
            </w:r>
          </w:p>
        </w:tc>
        <w:tc>
          <w:tcPr>
            <w:tcW w:w="2298" w:type="dxa"/>
            <w:vAlign w:val="center"/>
          </w:tcPr>
          <w:p w:rsidR="00F90A07" w:rsidRPr="00F90A07" w:rsidRDefault="00F90A07" w:rsidP="00F90A07">
            <w:pPr>
              <w:pStyle w:val="TableParagraph"/>
              <w:ind w:right="94"/>
              <w:jc w:val="center"/>
              <w:rPr>
                <w:rFonts w:ascii="Arial" w:hAnsi="Arial" w:cs="Arial"/>
                <w:sz w:val="16"/>
              </w:rPr>
            </w:pPr>
            <w:r w:rsidRPr="00F90A07">
              <w:rPr>
                <w:rFonts w:ascii="Arial" w:hAnsi="Arial" w:cs="Arial"/>
                <w:sz w:val="16"/>
              </w:rPr>
              <w:t xml:space="preserve">30.190,13 </w:t>
            </w:r>
            <w:r>
              <w:rPr>
                <w:rFonts w:ascii="Arial" w:hAnsi="Arial" w:cs="Arial"/>
                <w:sz w:val="16"/>
              </w:rPr>
              <w:t xml:space="preserve"> </w:t>
            </w:r>
          </w:p>
        </w:tc>
      </w:tr>
      <w:tr w:rsidR="00F90A07" w:rsidTr="00F90A07">
        <w:trPr>
          <w:trHeight w:val="251"/>
        </w:trPr>
        <w:tc>
          <w:tcPr>
            <w:tcW w:w="1785" w:type="dxa"/>
            <w:vAlign w:val="center"/>
          </w:tcPr>
          <w:p w:rsidR="00F90A07" w:rsidRPr="00F90A07" w:rsidRDefault="00F90A07" w:rsidP="00F90A07">
            <w:pPr>
              <w:pStyle w:val="TableParagraph"/>
              <w:spacing w:line="232" w:lineRule="exact"/>
              <w:ind w:left="107"/>
              <w:jc w:val="center"/>
              <w:rPr>
                <w:rFonts w:ascii="Arial" w:hAnsi="Arial" w:cs="Arial"/>
                <w:sz w:val="16"/>
              </w:rPr>
            </w:pPr>
            <w:r w:rsidRPr="00F90A07">
              <w:rPr>
                <w:rFonts w:ascii="Arial" w:hAnsi="Arial" w:cs="Arial"/>
                <w:sz w:val="16"/>
              </w:rPr>
              <w:t>Schwaben</w:t>
            </w:r>
          </w:p>
        </w:tc>
        <w:tc>
          <w:tcPr>
            <w:tcW w:w="3430" w:type="dxa"/>
            <w:vAlign w:val="center"/>
          </w:tcPr>
          <w:p w:rsidR="00F90A07" w:rsidRPr="00F90A07" w:rsidRDefault="00F90A07" w:rsidP="00F90A07">
            <w:pPr>
              <w:pStyle w:val="TableParagraph"/>
              <w:spacing w:line="232" w:lineRule="exact"/>
              <w:ind w:right="96"/>
              <w:jc w:val="center"/>
              <w:rPr>
                <w:rFonts w:ascii="Arial" w:hAnsi="Arial" w:cs="Arial"/>
                <w:sz w:val="16"/>
              </w:rPr>
            </w:pPr>
            <w:r w:rsidRPr="00F90A07">
              <w:rPr>
                <w:rFonts w:ascii="Arial" w:hAnsi="Arial" w:cs="Arial"/>
                <w:sz w:val="16"/>
              </w:rPr>
              <w:t xml:space="preserve">898.157,12 </w:t>
            </w:r>
            <w:r>
              <w:rPr>
                <w:rFonts w:ascii="Arial" w:hAnsi="Arial" w:cs="Arial"/>
                <w:sz w:val="16"/>
              </w:rPr>
              <w:t xml:space="preserve"> </w:t>
            </w:r>
          </w:p>
        </w:tc>
        <w:tc>
          <w:tcPr>
            <w:tcW w:w="2298" w:type="dxa"/>
            <w:vAlign w:val="center"/>
          </w:tcPr>
          <w:p w:rsidR="00F90A07" w:rsidRPr="00F90A07" w:rsidRDefault="00F90A07" w:rsidP="00F90A07">
            <w:pPr>
              <w:pStyle w:val="TableParagraph"/>
              <w:spacing w:line="232" w:lineRule="exact"/>
              <w:ind w:right="94"/>
              <w:jc w:val="center"/>
              <w:rPr>
                <w:rFonts w:ascii="Arial" w:hAnsi="Arial" w:cs="Arial"/>
                <w:sz w:val="16"/>
              </w:rPr>
            </w:pPr>
            <w:r w:rsidRPr="00F90A07">
              <w:rPr>
                <w:rFonts w:ascii="Arial" w:hAnsi="Arial" w:cs="Arial"/>
                <w:sz w:val="16"/>
              </w:rPr>
              <w:t xml:space="preserve">30.190,13 </w:t>
            </w:r>
            <w:r>
              <w:rPr>
                <w:rFonts w:ascii="Arial" w:hAnsi="Arial" w:cs="Arial"/>
                <w:sz w:val="16"/>
              </w:rPr>
              <w:t xml:space="preserve"> </w:t>
            </w:r>
          </w:p>
        </w:tc>
      </w:tr>
      <w:tr w:rsidR="00F90A07" w:rsidTr="00F90A07">
        <w:trPr>
          <w:trHeight w:val="254"/>
        </w:trPr>
        <w:tc>
          <w:tcPr>
            <w:tcW w:w="1785" w:type="dxa"/>
            <w:vAlign w:val="center"/>
          </w:tcPr>
          <w:p w:rsidR="00F90A07" w:rsidRPr="00F90A07" w:rsidRDefault="00F90A07" w:rsidP="00F90A07">
            <w:pPr>
              <w:pStyle w:val="TableParagraph"/>
              <w:ind w:left="107"/>
              <w:jc w:val="center"/>
              <w:rPr>
                <w:rFonts w:ascii="Arial" w:hAnsi="Arial" w:cs="Arial"/>
                <w:b/>
                <w:sz w:val="16"/>
              </w:rPr>
            </w:pPr>
            <w:r w:rsidRPr="00F90A07">
              <w:rPr>
                <w:rFonts w:ascii="Arial" w:hAnsi="Arial" w:cs="Arial"/>
                <w:b/>
                <w:sz w:val="16"/>
              </w:rPr>
              <w:t>Summe</w:t>
            </w:r>
          </w:p>
        </w:tc>
        <w:tc>
          <w:tcPr>
            <w:tcW w:w="3430" w:type="dxa"/>
            <w:vAlign w:val="center"/>
          </w:tcPr>
          <w:p w:rsidR="00F90A07" w:rsidRPr="00F90A07" w:rsidRDefault="00F90A07" w:rsidP="00F90A07">
            <w:pPr>
              <w:pStyle w:val="TableParagraph"/>
              <w:ind w:right="96"/>
              <w:jc w:val="center"/>
              <w:rPr>
                <w:rFonts w:ascii="Arial" w:hAnsi="Arial" w:cs="Arial"/>
                <w:b/>
                <w:sz w:val="16"/>
              </w:rPr>
            </w:pPr>
            <w:r w:rsidRPr="00F90A07">
              <w:rPr>
                <w:rFonts w:ascii="Arial" w:hAnsi="Arial" w:cs="Arial"/>
                <w:b/>
                <w:sz w:val="16"/>
              </w:rPr>
              <w:t xml:space="preserve">7.252.626,91 </w:t>
            </w:r>
            <w:r>
              <w:rPr>
                <w:rFonts w:ascii="Arial" w:hAnsi="Arial" w:cs="Arial"/>
                <w:b/>
                <w:sz w:val="16"/>
              </w:rPr>
              <w:t xml:space="preserve"> </w:t>
            </w:r>
          </w:p>
        </w:tc>
        <w:tc>
          <w:tcPr>
            <w:tcW w:w="2298" w:type="dxa"/>
            <w:vAlign w:val="center"/>
          </w:tcPr>
          <w:p w:rsidR="00F90A07" w:rsidRPr="00F90A07" w:rsidRDefault="00F90A07" w:rsidP="00F90A07">
            <w:pPr>
              <w:pStyle w:val="TableParagraph"/>
              <w:ind w:right="94"/>
              <w:jc w:val="center"/>
              <w:rPr>
                <w:rFonts w:ascii="Arial" w:hAnsi="Arial" w:cs="Arial"/>
                <w:b/>
                <w:sz w:val="16"/>
              </w:rPr>
            </w:pPr>
            <w:r w:rsidRPr="00F90A07">
              <w:rPr>
                <w:rFonts w:ascii="Arial" w:hAnsi="Arial" w:cs="Arial"/>
                <w:b/>
                <w:sz w:val="16"/>
              </w:rPr>
              <w:t xml:space="preserve">342.593,95 </w:t>
            </w:r>
            <w:r>
              <w:rPr>
                <w:rFonts w:ascii="Arial" w:hAnsi="Arial" w:cs="Arial"/>
                <w:b/>
                <w:sz w:val="16"/>
              </w:rPr>
              <w:t xml:space="preserve"> </w:t>
            </w:r>
          </w:p>
        </w:tc>
      </w:tr>
    </w:tbl>
    <w:p w:rsidR="004E2F84" w:rsidRDefault="004E2F84" w:rsidP="004E2F84">
      <w:pPr>
        <w:pStyle w:val="LTAntwortRessortText"/>
      </w:pPr>
      <w:r>
        <w:t>Eine Aufschlüsselung der Fördersumme auf CO</w:t>
      </w:r>
      <w:r w:rsidRPr="00DF4808">
        <w:rPr>
          <w:vertAlign w:val="subscript"/>
        </w:rPr>
        <w:t>2</w:t>
      </w:r>
      <w:r>
        <w:t>-Sensoren und mobile</w:t>
      </w:r>
      <w:r w:rsidR="00E46E30">
        <w:t xml:space="preserve"> </w:t>
      </w:r>
      <w:r>
        <w:t>Luftreinigungsgeräte ist nicht möglich.</w:t>
      </w:r>
    </w:p>
    <w:p w:rsidR="004E2F84" w:rsidRDefault="004E2F84">
      <w:bookmarkStart w:id="120" w:name="Frage_Nr_59_Ende"/>
      <w:bookmarkEnd w:id="120"/>
      <w:r>
        <w:br w:type="page"/>
      </w:r>
    </w:p>
    <w:p w:rsidR="004E2F84" w:rsidRDefault="004E2F84" w:rsidP="004E2F84">
      <w:pPr>
        <w:pStyle w:val="LTUeberschrRessort"/>
      </w:pPr>
      <w:r>
        <w:lastRenderedPageBreak/>
        <w:t>Geschäftsbereich des Staatsministeriums für Gesundheit und Pflege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474E9B" w:rsidTr="00474E9B">
        <w:tc>
          <w:tcPr>
            <w:tcW w:w="1873" w:type="dxa"/>
          </w:tcPr>
          <w:p w:rsidR="00474E9B" w:rsidRDefault="00474E9B" w:rsidP="00474E9B">
            <w:pPr>
              <w:pStyle w:val="LTAnfrageInitiator"/>
            </w:pPr>
            <w:r>
              <w:t>Abgeordneter</w:t>
            </w:r>
            <w:r>
              <w:rPr>
                <w:b/>
              </w:rPr>
              <w:br/>
              <w:t>Horst</w:t>
            </w:r>
            <w:r>
              <w:rPr>
                <w:b/>
              </w:rPr>
              <w:br/>
              <w:t>Arnold</w:t>
            </w:r>
            <w:r>
              <w:rPr>
                <w:b/>
              </w:rPr>
              <w:br/>
            </w:r>
            <w:r>
              <w:t>(SPD)</w:t>
            </w:r>
            <w:bookmarkStart w:id="121" w:name="Frage_Nr_60"/>
            <w:bookmarkEnd w:id="121"/>
          </w:p>
        </w:tc>
        <w:tc>
          <w:tcPr>
            <w:tcW w:w="5743" w:type="dxa"/>
          </w:tcPr>
          <w:p w:rsidR="00474E9B" w:rsidRPr="00C84F2D" w:rsidRDefault="00474E9B" w:rsidP="00C84F2D">
            <w:pPr>
              <w:pStyle w:val="LTAnfrageText"/>
            </w:pPr>
            <w:r w:rsidRPr="00C84F2D">
              <w:t>Ich frage die Staatsregierung zum Thema „Vertrauliche Spurensicherung ZVSS“ nach sexualisierter und/oder körperlicher Gewalt und dem Umstand, dass seit 01.03.2021 die Leistungen von den Krankenkassen übernommen werden sollen und dass § 132k Sozialgesetzbuch Fünftes Buch (SGB V) eine pauschalisierte Abrechnung regelt und den Erkenntnissen und Mitteilungen aus der Praxis, dass noch wichtige Aspekte der Gesamtmaßnahme wie z. B. das Beweissicherungsset, die Lagerstätte im abschließbaren Kühlstand sowie Fortbildung der Ärzte kostenmäßig derzeit nicht erfasst bzw. geregelt sind und unter Kenntnisnahme des Umstandes, dass das Land Hessen 200 Euro Kostenübernahme pauschal pro ZVSS übernimmt, welche Haltung sie zum ZVSS einnimmt und gegebenenfalls dem Beispiel Hessen folgend, dieses Projekt mit Landesmitteln zu unterstützen geneigt ist?</w:t>
            </w:r>
          </w:p>
        </w:tc>
        <w:tc>
          <w:tcPr>
            <w:tcW w:w="5743" w:type="dxa"/>
          </w:tcPr>
          <w:p w:rsidR="00474E9B" w:rsidRDefault="00474E9B" w:rsidP="00474E9B">
            <w:pPr>
              <w:pStyle w:val="LTAnfrageText"/>
            </w:pPr>
          </w:p>
        </w:tc>
      </w:tr>
    </w:tbl>
    <w:p w:rsidR="004E2F84" w:rsidRDefault="004E2F84" w:rsidP="004E2F84">
      <w:pPr>
        <w:pStyle w:val="LTUeberschrAntwortRessort"/>
      </w:pPr>
      <w:r>
        <w:t>Antwort des Staatsministeriums für Gesundheit und Pflege</w:t>
      </w:r>
      <w:r w:rsidR="00C76085">
        <w:t xml:space="preserve"> unter Einbeziehung des Staatsministeriums für Familie, Arbeit und Soziales, des Staatsministeriums der Justiz und des Staatsministeriums des Innern, für Sport und Integration</w:t>
      </w:r>
    </w:p>
    <w:p w:rsidR="004E2F84" w:rsidRDefault="004E2F84" w:rsidP="004E2F84">
      <w:pPr>
        <w:pStyle w:val="LTAntwortRessortText"/>
      </w:pPr>
      <w:r>
        <w:t>Auch aus Sicht des St</w:t>
      </w:r>
      <w:r w:rsidR="00C76085">
        <w:t>aatsministeriums für Gesundheit und Pflege (St</w:t>
      </w:r>
      <w:r>
        <w:t>MGP</w:t>
      </w:r>
      <w:r w:rsidR="00C76085">
        <w:t>)</w:t>
      </w:r>
      <w:r>
        <w:t xml:space="preserve"> besteht Handlungsbedarf, denn momentan werden die Kosten für eine Spurensicherung nur dann übernommen, wenn die betroffene Person unmittelbar mit der Spurensicherung eine Strafanzeige stellt.</w:t>
      </w:r>
    </w:p>
    <w:p w:rsidR="004E2F84" w:rsidRDefault="004E2F84" w:rsidP="004E2F84">
      <w:pPr>
        <w:pStyle w:val="LTAntwortRessortText"/>
      </w:pPr>
      <w:r>
        <w:t xml:space="preserve">Die aus § 132k </w:t>
      </w:r>
      <w:r w:rsidR="00DF4808">
        <w:t>Sozialgesetzbuch Fünftes Buch (</w:t>
      </w:r>
      <w:r>
        <w:t>SGB V</w:t>
      </w:r>
      <w:r w:rsidR="00DF4808">
        <w:t>)</w:t>
      </w:r>
      <w:r>
        <w:t xml:space="preserve"> resultierende Verpflichtung des Abschlusses eines Vertrages mit Krankenkassen und Leistungserbringern wurde bislang noch nicht umgesetzt, da die dafür not</w:t>
      </w:r>
      <w:r w:rsidR="00DF4808">
        <w:t>wendigen Kapazitäten für das o. </w:t>
      </w:r>
      <w:r>
        <w:t xml:space="preserve">g. Projekt vordringlich und vollständig für die Pandemiebewältigung im Zusammenhang mit </w:t>
      </w:r>
      <w:r w:rsidR="003F1661">
        <w:t>COVID</w:t>
      </w:r>
      <w:r>
        <w:t>-19 eingesetzt wurden.</w:t>
      </w:r>
    </w:p>
    <w:p w:rsidR="004E2F84" w:rsidRDefault="004E2F84" w:rsidP="004E2F84">
      <w:pPr>
        <w:pStyle w:val="LTAntwortRessortText"/>
      </w:pPr>
      <w:r>
        <w:t>Das StMG</w:t>
      </w:r>
      <w:r w:rsidR="00732175">
        <w:t xml:space="preserve">P wird nun unter Einbindung des </w:t>
      </w:r>
      <w:r>
        <w:t>St</w:t>
      </w:r>
      <w:r w:rsidR="00C76085">
        <w:t>aatsministerium</w:t>
      </w:r>
      <w:r w:rsidR="00732175">
        <w:t>s</w:t>
      </w:r>
      <w:r w:rsidR="00C76085">
        <w:t xml:space="preserve"> für Familie, Arbeit</w:t>
      </w:r>
      <w:r w:rsidR="00732175">
        <w:t xml:space="preserve"> und Soziales, der Justiz </w:t>
      </w:r>
      <w:r w:rsidR="00C76085">
        <w:t>sowie des Staatsministerium</w:t>
      </w:r>
      <w:r w:rsidR="00DF4808">
        <w:t>s</w:t>
      </w:r>
      <w:r w:rsidR="00C76085">
        <w:t xml:space="preserve"> des Innern, für Sport und Integration G</w:t>
      </w:r>
      <w:r>
        <w:t>espräche mit Krankenkassen und Leistungserbringern aufnehmen, um dieses wichtige Thema zeitnah umzusetzen.</w:t>
      </w:r>
    </w:p>
    <w:p w:rsidR="004E2F84" w:rsidRDefault="004E2F84" w:rsidP="004E2F84">
      <w:pPr>
        <w:pStyle w:val="LTAntwortRessortText"/>
      </w:pPr>
      <w:r>
        <w:t>In diesem Zusammenhang wird auch geprüft werden, ob zusätzliche Landesmittel erforderlich sind.</w:t>
      </w:r>
    </w:p>
    <w:p w:rsidR="004E2F84" w:rsidRDefault="004E2F84">
      <w:bookmarkStart w:id="122" w:name="Frage_Nr_60_Ende"/>
      <w:bookmarkEnd w:id="122"/>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474E9B" w:rsidTr="00474E9B">
        <w:tc>
          <w:tcPr>
            <w:tcW w:w="1917" w:type="dxa"/>
          </w:tcPr>
          <w:p w:rsidR="00474E9B" w:rsidRDefault="00474E9B" w:rsidP="00474E9B">
            <w:pPr>
              <w:pStyle w:val="LTAnfrageInitiator"/>
            </w:pPr>
            <w:r>
              <w:lastRenderedPageBreak/>
              <w:t>Abgeordneter</w:t>
            </w:r>
            <w:r>
              <w:rPr>
                <w:b/>
              </w:rPr>
              <w:br/>
              <w:t>Franz</w:t>
            </w:r>
            <w:r>
              <w:rPr>
                <w:b/>
              </w:rPr>
              <w:br/>
              <w:t>Bergmüller</w:t>
            </w:r>
            <w:r>
              <w:rPr>
                <w:b/>
              </w:rPr>
              <w:br/>
            </w:r>
            <w:r>
              <w:t>(AfD)</w:t>
            </w:r>
            <w:bookmarkStart w:id="123" w:name="Frage_Nr_61"/>
            <w:bookmarkEnd w:id="123"/>
          </w:p>
        </w:tc>
        <w:tc>
          <w:tcPr>
            <w:tcW w:w="5699" w:type="dxa"/>
          </w:tcPr>
          <w:p w:rsidR="00474E9B" w:rsidRPr="00C84F2D" w:rsidRDefault="00474E9B" w:rsidP="004239D8">
            <w:pPr>
              <w:pStyle w:val="LTAnfrageText"/>
            </w:pPr>
            <w:r w:rsidRPr="00C84F2D">
              <w:t>Angesichts der Tatsachen, dass ausweislich des DIVI-Reports (DIVI = Deutsche Interdisziplinäre Vereinigung für Intensiv- und Notfallmedizin) vom 04.07.2021 die Zahlen der intensivbetreuten Personen mit positivem COVID-PCR-Test von 5 762 auf 546 um über 90 Prozent gesunken sind</w:t>
            </w:r>
            <w:r w:rsidRPr="00DF4808">
              <w:rPr>
                <w:vertAlign w:val="superscript"/>
              </w:rPr>
              <w:footnoteReference w:id="2"/>
            </w:r>
            <w:r w:rsidRPr="00C84F2D">
              <w:t>, den jüngsten Daten aus Abbildung 9 des RKI-Reports (RKI = Robert Koch-Institut) vom 29.06.2021 zu entnehmen ist, dass unter 14-Jährige praktisch nie wegen COVID hospitalisiert werden müssen</w:t>
            </w:r>
            <w:r w:rsidRPr="00DF4808">
              <w:rPr>
                <w:vertAlign w:val="superscript"/>
              </w:rPr>
              <w:footnoteReference w:id="3"/>
            </w:r>
            <w:r w:rsidRPr="00C84F2D">
              <w:t>, selbst bei steigenden Inzidenzen, wie – angeblich wegen der „Delta-Variante“ – derzeit in Großbritannien mit ca. 200 und ausweislich der dennoch nicht steigenden Todeszahlen in Großbritannien und Portugal, durch die „Delta-Variante“ bewirkten Anstiege weder in Großbritannien, noch in Portugal und jüngst auch in Indien nicht in mehr Hospitalisierungen enden</w:t>
            </w:r>
            <w:r w:rsidRPr="00DF4808">
              <w:rPr>
                <w:vertAlign w:val="superscript"/>
              </w:rPr>
              <w:footnoteReference w:id="4"/>
            </w:r>
            <w:r w:rsidRPr="00C84F2D">
              <w:t>, den jüngsten Daten aus Abbildung 13 des RKI-Reports vom 29.06.2021 zu entnehmen ist, dass unter ca. 8</w:t>
            </w:r>
            <w:r w:rsidR="004239D8">
              <w:t>,3 </w:t>
            </w:r>
            <w:r w:rsidRPr="00C84F2D">
              <w:t>Mio. Schülern in Deutschland in den vergangenen Wochen pro Woche lediglich ca. 20 „Ausbrüche“ registriert wurden</w:t>
            </w:r>
            <w:r w:rsidRPr="00DF4808">
              <w:rPr>
                <w:vertAlign w:val="superscript"/>
              </w:rPr>
              <w:footnoteReference w:id="5"/>
            </w:r>
            <w:r w:rsidRPr="00C84F2D">
              <w:t>, der mit dem Schutz der Menschenrechte auf dem Kontinent Europa beauftragte und von der EU völlig unabhängige Europarat am 27.01.2021 zur COVID-19-Impfpflicht per Resolution 2</w:t>
            </w:r>
            <w:r w:rsidR="00DF4808">
              <w:t> </w:t>
            </w:r>
            <w:r w:rsidRPr="00C84F2D">
              <w:t>361 (2021) feststellte: „7.3.1 ensure that citizens are informed that the vaccination is NOT mandatory and that no one is politically, socially, or otherwise pressured to get themselves vaccinated, if they do not wish to do so themselves; 7.3.2 ensure that no one is discriminated against for not having been vaccinated, due to possible health risks or not wanting to be vaccinated;“</w:t>
            </w:r>
            <w:r w:rsidRPr="00DF4808">
              <w:rPr>
                <w:vertAlign w:val="superscript"/>
              </w:rPr>
              <w:footnoteReference w:id="6"/>
            </w:r>
            <w:r w:rsidRPr="00C84F2D">
              <w:t>, der Regierungsberater Österreichs Prof. Dr. Herwig Kollaritsch mit den folgenden Worten im ORF offenbarte, dass das behauptete Ziel, „Herdenimmunität“ zu erreichen mit den gegenwärtigen Impfseren gar nicht erreichbar ist: „Leider Gottes ist es so, dass wir bei diesen Impfstoffen nicht davon ausgehen können, dass sie die Übertragung absolut unterbinden. Es ist möglich, dass sie sie etwas reduzieren; was aber bedeutet, wir können mit den Impfstoffen nicht das erzeugen, was wir immer als Herdenimmunität bezeichnen“ (</w:t>
            </w:r>
            <w:hyperlink r:id="rId17" w:history="1">
              <w:r w:rsidRPr="00DF4808">
                <w:rPr>
                  <w:rStyle w:val="LTHyperlinkZchn"/>
                  <w:b w:val="0"/>
                </w:rPr>
                <w:t>https://www.youtube.com/watch?v=f74sWxHJXmU</w:t>
              </w:r>
            </w:hyperlink>
            <w:r w:rsidRPr="00C84F2D">
              <w:t xml:space="preserve"> Min. 2.30), die Ständige Impfkommission (STIKO) jegliche Art von Impfungen gegen das COVID-Virus bei Kindern – bis auf begründete Ausnahmen – ablehnt, weswegen evident ist, dass mindestens bei den unter 14-Jährigen und wohl auch bei den unter 60-Jährigen eine Impfung mit dem derzeit auf dem Markt befindlichen Impfseren in keinem vertretbaren Verhältnis zu dem mit einer Impfung behaupteten Nutzen steht und angesichts der Tatsache, dass Erzbischof Carlo Maria Viganò in seinem offenen Brief </w:t>
            </w:r>
            <w:r w:rsidRPr="00C84F2D">
              <w:lastRenderedPageBreak/>
              <w:t xml:space="preserve">den US-Präsidenten am 30.09.2020, also Monate vor Bekanntgabe der ersten „Mutation“ als wirklichen Zweck der Impfungen mit den Worten „Der Zweck des Great Reset ist die Einführung einer Gesundheitsdiktatur, die auf die Einführung freiheitsvernichtender Maßnahmen abzielt … wird die Einführung der Impfung mit der Anforderung eines Gesundheitspasses und eines digitalen Personalausweises einhergehen, mit der konsequenten Kontaktverfolgung der Bevölkerung der ganzen Welt.“ die hierdurch zukünftig mögliche Überwachung der weltweiten Mobilität der Bürger mit Hilfe eines „digitalen Gesundheitspasses“ und die damit auch eröffnete Möglichkeit der Einführung eines Sozial-Kredit-Systems nach kommunistisch-chinesischem Vorbild, offenbart </w:t>
            </w:r>
            <w:r w:rsidR="004239D8">
              <w:t>(</w:t>
            </w:r>
            <w:hyperlink r:id="rId18" w:history="1">
              <w:r w:rsidRPr="00DF4808">
                <w:rPr>
                  <w:rStyle w:val="LTHyperlinkZchn"/>
                  <w:b w:val="0"/>
                </w:rPr>
                <w:t>https://catholicfamilynews.com/blog/2020/10/30/open-letter-to-president-donald-trump/</w:t>
              </w:r>
            </w:hyperlink>
            <w:r w:rsidR="004239D8">
              <w:rPr>
                <w:rStyle w:val="LTHyperlinkZchn"/>
                <w:b w:val="0"/>
              </w:rPr>
              <w:t>)</w:t>
            </w:r>
            <w:r w:rsidRPr="00C84F2D">
              <w:t>, frage ich die Staatsregierung, aus welchen wissenschaftlichen Tatsachen – bitte die zugehörigen Studien offenlegen – leitet Ministerpräsident Dr. Markus Söder die in der Bildzeitung vom 04.07.2021 geäußerte Annahme „Das wirksamste Mittel gegen die Delta-Variante ist die Schülerimpfung …“ ab, obwohl Impfungen die Übertragbarkeit von COVID</w:t>
            </w:r>
            <w:r w:rsidR="004239D8">
              <w:t>-19</w:t>
            </w:r>
            <w:r w:rsidRPr="00C84F2D">
              <w:t xml:space="preserve"> ja gar nicht unterbinden (bitte alle wissenschaftlichen Tatsachen angeben), aus welchen wissenschaftlich belegten Tatsachen – bitte die zugehörigen Studien offenlegen – leitet Ministerp</w:t>
            </w:r>
            <w:r w:rsidR="004239D8">
              <w:t>räsident Dr. Markus Söder seine</w:t>
            </w:r>
            <w:r w:rsidRPr="00C84F2D">
              <w:t xml:space="preserve"> der Position der STIKO diametr</w:t>
            </w:r>
            <w:r w:rsidR="004239D8">
              <w:t>al entgegenstehende</w:t>
            </w:r>
            <w:r w:rsidRPr="00C84F2D">
              <w:t xml:space="preserve"> politische Forderung „Bundesweit müssen wir schnell und gezielt in den Schulen impfen, sobald die Empfehlung der STIKO vorliegt.“ ab (bitte alle wissenschaftlichen Tatsachen angeben) und mit welchen Argumenten meint die Staatsregierung – angesichts des hieraus ableitbaren ersten Faktums – dass die in 1 und 2 abgefragten Tatsachen, die in 1 und 2 abgefragten Gründe für die Positionierung des Ministerpräsidenten zur Ausübung eines indirekten Impfzwa</w:t>
            </w:r>
            <w:r w:rsidR="004239D8">
              <w:t>ngs auch für Kinder/Jugendliche</w:t>
            </w:r>
            <w:r w:rsidRPr="00C84F2D">
              <w:t xml:space="preserve"> für eine zunehmende Anzahl an Bürgern immer weniger überzeugend wirken, und – angesichts des hieraus ableitbaren zweiten Fa</w:t>
            </w:r>
            <w:r w:rsidR="004239D8">
              <w:t>ktums – , dass Erzbischof Vigan</w:t>
            </w:r>
            <w:r w:rsidR="004239D8" w:rsidRPr="00C84F2D">
              <w:t>ò</w:t>
            </w:r>
            <w:r w:rsidRPr="00C84F2D">
              <w:t xml:space="preserve"> als wirklichen Grund für die Impfungen erkennt, dass möglichst breite Schichten der Bevölkerung in die Verwendung des digitalen Impfpasses hineingezwungen werden sollen, um z. B. deren Bewegungen dann überwachen zu können, die Bevölkerung davon überzeugen zu können</w:t>
            </w:r>
            <w:r w:rsidR="004239D8">
              <w:t>,</w:t>
            </w:r>
            <w:r w:rsidRPr="00C84F2D">
              <w:t xml:space="preserve"> dass die von Erzbischof Carlo Maria Viganò angebotene Lesart dieser Tatsachen unzutreffend ist (bitte ausführlich darlegen)? </w:t>
            </w:r>
          </w:p>
        </w:tc>
        <w:tc>
          <w:tcPr>
            <w:tcW w:w="5699" w:type="dxa"/>
          </w:tcPr>
          <w:p w:rsidR="00474E9B" w:rsidRDefault="00474E9B" w:rsidP="00474E9B">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Die besorgniserregende Delta-Variante, die eine deutlich erhöhte Ansteckung im Vergleich zur bisher in Deutschland am weitesten verbreiteten Alpha-Variante aufweist und nach derzeitiger Datenlage auch mit einer höheren Hospitalisierung einhergeht, wird nach Angaben des Robert Koch-Instituts (RKI) in kürzester Zeit die dominante Variante in Deutschland sein. Es ist das Bestreben der Staatsregierung, eine kommende vierte Welle im Herbst möglichst flach zu halten. Eine möglichst hohe Durchimpfung der Bevölkerung ist hierzu der beste Weg. Alle in Deutschland zugelassenen Impfstoffe zeigen einen hohen Schutz gegen schwere Verläufe bei Infektion mit der Delta-Variante.</w:t>
      </w:r>
    </w:p>
    <w:p w:rsidR="004E2F84" w:rsidRDefault="004E2F84" w:rsidP="004E2F84">
      <w:pPr>
        <w:pStyle w:val="LTAntwortRessortText"/>
      </w:pPr>
      <w:r>
        <w:lastRenderedPageBreak/>
        <w:t xml:space="preserve">Für Kinder und Jugendliche ab 12 Jahren ist der Impfstoff Comirnaty von BioNTech/Pfizer zugelassen. Wenn auch die Ständige Impfkommission (STIKO) die Impfung von </w:t>
      </w:r>
      <w:r w:rsidR="00DF4808">
        <w:t xml:space="preserve">Kindern und Jugendlichen von 12 bis </w:t>
      </w:r>
      <w:r>
        <w:t>17 Jahren nur unter bestimmten Konstellationen empfiehlt (Vorerkrankungen, Kontakt zu vulnerablen, nicht impfbaren Personen, berufliche Indikation), so ist die Impfung bei Kindern und Jugendlichen, die nicht hierunter fallen, laut STIKO jedoch auch nach ärztlicher Aufklärung und bei individuellem Wunsch und Risikoakzeptanz möglich.</w:t>
      </w:r>
    </w:p>
    <w:p w:rsidR="004E2F84" w:rsidRDefault="004E2F84" w:rsidP="004E2F84">
      <w:pPr>
        <w:pStyle w:val="LTAntwortRessortText"/>
      </w:pPr>
      <w:r>
        <w:t>Um eine hohe Durchimpfung der Bevölkerung zu erreichen, soll aus Sicht der Staatsregierung allen Kindern und Jugendlichen, für die es einen zugelassenen Impfstoff gibt, auch ein Impfangebot unterbreitet werden. Das schützt nicht nur die Kinder selbst vor einer Ansteckung mit der hochinfektiösen Delta-Variante, sondern auch die vulnerablen Erwachsenen, die nicht geimpft werden können.</w:t>
      </w:r>
    </w:p>
    <w:p w:rsidR="004E2F84" w:rsidRDefault="004E2F84" w:rsidP="004E2F84">
      <w:pPr>
        <w:pStyle w:val="LTAntwortRessortText"/>
      </w:pPr>
      <w:r>
        <w:t>Insofern ist ein Impfangebot für Kinder und Jugendliche ein verantwortungsvolles Vorgehen im Sinne einer effektiven Bekämpfung der Pandemie. Nicht Zwang und Kontrolle sind die Gedanken, die hinter diesen Überlegungen stehen, sondern ein effektiver Schutz der gesamten Bevölkerung.</w:t>
      </w:r>
    </w:p>
    <w:p w:rsidR="004E2F84" w:rsidRDefault="004E2F84">
      <w:bookmarkStart w:id="124" w:name="Frage_Nr_61_Ende"/>
      <w:bookmarkEnd w:id="124"/>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474E9B" w:rsidTr="00474E9B">
        <w:tc>
          <w:tcPr>
            <w:tcW w:w="1862" w:type="dxa"/>
          </w:tcPr>
          <w:p w:rsidR="00474E9B" w:rsidRDefault="00474E9B" w:rsidP="00474E9B">
            <w:pPr>
              <w:pStyle w:val="LTAnfrageInitiator"/>
            </w:pPr>
            <w:r>
              <w:lastRenderedPageBreak/>
              <w:t>Abgeordneter</w:t>
            </w:r>
            <w:r>
              <w:rPr>
                <w:b/>
              </w:rPr>
              <w:br/>
              <w:t>Florian</w:t>
            </w:r>
            <w:r>
              <w:rPr>
                <w:b/>
              </w:rPr>
              <w:br/>
              <w:t>von Brunn</w:t>
            </w:r>
            <w:r>
              <w:rPr>
                <w:b/>
              </w:rPr>
              <w:br/>
            </w:r>
            <w:r>
              <w:t>(SPD)</w:t>
            </w:r>
            <w:bookmarkStart w:id="125" w:name="Frage_Nr_62"/>
            <w:bookmarkEnd w:id="125"/>
          </w:p>
        </w:tc>
        <w:tc>
          <w:tcPr>
            <w:tcW w:w="5754" w:type="dxa"/>
          </w:tcPr>
          <w:p w:rsidR="00474E9B" w:rsidRPr="00C84F2D" w:rsidRDefault="00474E9B" w:rsidP="00C84F2D">
            <w:pPr>
              <w:pStyle w:val="LTAnfrageText"/>
            </w:pPr>
            <w:r w:rsidRPr="00C84F2D">
              <w:t>Nachdem die Deutsche Gesellschaft für Krankenhaushygiene mehrfach die FFP2-Maskenpflicht, die es nur in Bayern und Berlin gibt, kritisiert hat, das Europäische Zentrum für die Prävention und die Kontrolle von Krankheiten (ECDC) nur einen geringen Mehrwert in ihrer allgemeinen Verwendung sieht, die Stiftung Warentest festgestellt hat, dass die Mehrzahl der von ihr getesteten FFP2-Masken nicht richtig sitzt und deswegen auch nicht richtig schützt, gleichzeitig auch die Infektionszahlen in Bayern sich durch die FFP2-Maskenpflicht nicht positiv von denen in anderen Bundesländern unterscheiden, frage ich die Staatsregierung, mit welchen konkreten wissenschaftlichen Erkenntnissen und Studien sie die Verpflichtung zum Tragen einer FFP2-Maske in Bayern begründet, warum sie diese Pflicht trotz der o. g. Standpunkte der Deutschen Gesellschaft für Krankenhaushygiene, der Stiftung Warentest und der europäischen Gesundheitsbehörde ECDC aufrechterhält und wie sie sicherstellt, dass etwa bei Zugfahrten durch Bayern die maximale empfohlene Tragedauer, die zum Beispiel am Arbeitsplatz gilt, nicht überschritten wird?  </w:t>
            </w:r>
          </w:p>
        </w:tc>
        <w:tc>
          <w:tcPr>
            <w:tcW w:w="5754" w:type="dxa"/>
          </w:tcPr>
          <w:p w:rsidR="00474E9B" w:rsidRDefault="00474E9B" w:rsidP="00474E9B">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Die Einführung der FFP2-Maskenpflicht in Bayern beruht auf der Erkenntnis, dass FFP2-Masken gegenüber den Community-Masken eine verbesserte Wirkung bieten, da sie einer Normierung unterliegen. Mund-Nasen-Bedeckungen (MNB) in Form von Community-Masken unterliegen hingegen keiner Normierung. Stoffdicke, Material u</w:t>
      </w:r>
      <w:r w:rsidR="00DF4808">
        <w:t>nd Sitz können daher variieren –</w:t>
      </w:r>
      <w:r>
        <w:t xml:space="preserve"> und damit auch die Schutzwirkung.</w:t>
      </w:r>
    </w:p>
    <w:p w:rsidR="004E2F84" w:rsidRDefault="004E2F84" w:rsidP="004E2F84">
      <w:pPr>
        <w:pStyle w:val="LTAntwortRessortText"/>
      </w:pPr>
      <w:r>
        <w:t xml:space="preserve">Auch gegenüber medizinischen Gesichtsmasken haben FFP2-Masken entscheidende Vorteile: Wie das Bundesinstitut für Arzneimittel und Medizinprodukte (BfArM) darlegt, sind medizinische Gesichtsmasken für den Fremdschutz konzipiert. Sie schützen nach Angabe des BfArM vor Tröpfchen, bieten aber weniger Schutz vor Aerosolen als FFP2-Masken (siehe dazu </w:t>
      </w:r>
      <w:hyperlink r:id="rId19" w:history="1">
        <w:r w:rsidRPr="00DF4808">
          <w:rPr>
            <w:rStyle w:val="LTHyperlinkZchn"/>
            <w:b w:val="0"/>
          </w:rPr>
          <w:t>https://www.bfarm.de/SharedDocs/Risikoinformationen/Medizinprodukte/DE/schutzmasken.html</w:t>
        </w:r>
      </w:hyperlink>
      <w:r>
        <w:t>).</w:t>
      </w:r>
    </w:p>
    <w:p w:rsidR="004E2F84" w:rsidRDefault="004E2F84" w:rsidP="004E2F84">
      <w:pPr>
        <w:pStyle w:val="LTAntwortRessortText"/>
      </w:pPr>
      <w:r>
        <w:t>Demgegenüber sind FFP2-Masken auch für den Eigenschutz ausgelegt und schützen dabei zugleich vor Aerosolen. Gerade in der aktuellen Zeit, in der die hochinfektiöse</w:t>
      </w:r>
      <w:r w:rsidR="009A7E26">
        <w:t xml:space="preserve"> </w:t>
      </w:r>
      <w:r w:rsidR="006E77CA">
        <w:t>besorgniserregende</w:t>
      </w:r>
      <w:r>
        <w:t xml:space="preserve"> Delta-Variante zunehmend Verbreitung findet, ist einer FFP2-Maske unter dem Aspekt des Eigen- und Fremdschutzes, insbesondere vor dem Hintergrund, dass nach einmaliger Impfung gegen die Delta-Variante ein deutlich reduzierter Impfschutz besteht und bisher erst 40 </w:t>
      </w:r>
      <w:r w:rsidR="003F1661">
        <w:t>Prozent</w:t>
      </w:r>
      <w:r>
        <w:t xml:space="preserve"> der Bevölkerung in Bayern als vollständig geimpft gelten, der Vorzug zu geben.</w:t>
      </w:r>
    </w:p>
    <w:p w:rsidR="004E2F84" w:rsidRDefault="004E2F84" w:rsidP="004E2F84">
      <w:pPr>
        <w:pStyle w:val="LTAntwortRessortText"/>
      </w:pPr>
      <w:r>
        <w:t xml:space="preserve">Dass FFP2-Masken aufgrund ihrer durch die CE-Zertifizierung nachgewiesenen höheren Filtrationsleistung und ihres besseren Dichtsitzes eine höhere Schutzwirkung gegenüber dem Coronavirus </w:t>
      </w:r>
      <w:r w:rsidR="003F1661">
        <w:t>SARS</w:t>
      </w:r>
      <w:r>
        <w:t xml:space="preserve">-CoV-2 als Mund-Nasen-Bedeckungen oder Medizinische Gesichtsmasken haben, hat </w:t>
      </w:r>
      <w:r w:rsidR="003F1661">
        <w:t>z. B.</w:t>
      </w:r>
      <w:r>
        <w:t xml:space="preserve"> eine im Journal of Aerosol Science veröffentlichte Studie der Universität der Bundeswehr München gezeigt (</w:t>
      </w:r>
      <w:hyperlink r:id="rId20" w:history="1">
        <w:r w:rsidRPr="00DF4808">
          <w:rPr>
            <w:rStyle w:val="LTHyperlinkZchn"/>
            <w:b w:val="0"/>
          </w:rPr>
          <w:t>https://www.sciencedirect.com/science/article/pii/S0021850220301063</w:t>
        </w:r>
      </w:hyperlink>
      <w:r>
        <w:t>).</w:t>
      </w:r>
    </w:p>
    <w:p w:rsidR="004E2F84" w:rsidRDefault="004E2F84" w:rsidP="004E2F84">
      <w:pPr>
        <w:pStyle w:val="LTAntwortRessortText"/>
      </w:pPr>
      <w:r>
        <w:t>Auch die Stiftung Wartentest führt in ihrer Untersuchung (</w:t>
      </w:r>
      <w:hyperlink r:id="rId21" w:history="1">
        <w:r w:rsidRPr="00DF4808">
          <w:rPr>
            <w:rStyle w:val="LTHyperlinkZchn"/>
            <w:b w:val="0"/>
          </w:rPr>
          <w:t>https://www.test.de/Masken-Welcher-Mund-Nasen-Schutz-hilft-am-besten-gegen-Corona-5692592-0/</w:t>
        </w:r>
      </w:hyperlink>
      <w:r>
        <w:t xml:space="preserve">) aus, </w:t>
      </w:r>
      <w:r>
        <w:lastRenderedPageBreak/>
        <w:t xml:space="preserve">dass die geprüften FFP2-Masken sämtlich rund 99 </w:t>
      </w:r>
      <w:r w:rsidR="003F1661">
        <w:t>Prozent</w:t>
      </w:r>
      <w:r>
        <w:t xml:space="preserve"> der Aerosolpartikel zurückhielten.</w:t>
      </w:r>
    </w:p>
    <w:p w:rsidR="002B3E09" w:rsidRDefault="004E2F84" w:rsidP="004E2F84">
      <w:pPr>
        <w:pStyle w:val="LTAntwortRessortText"/>
      </w:pPr>
      <w:r>
        <w:t xml:space="preserve">Bei der empfohlenen max. Tragedauer einer FFP2-Maske von 75 Minuten mit anschließender Erholungspause von 30 Minuten ist klarzustellen, dass es sich bei der genannten Regel der Deutschen Gesetzlichen Unfallversicherung </w:t>
      </w:r>
      <w:r w:rsidR="003F1661">
        <w:t>„</w:t>
      </w:r>
      <w:r>
        <w:t>Benutzung von Atemschutzgeräten</w:t>
      </w:r>
      <w:r w:rsidR="003F1661">
        <w:t>“</w:t>
      </w:r>
      <w:r>
        <w:t xml:space="preserve"> (DGUV Regel 112-190) nicht um eine gemäß Arbeitsschutzgesetz (ArbSchG) verbindliche Vorgabe handelt. Vielmehr bietet diese Regel dem Arbeitgeber eine Hilfestellung bei der gemäß ArbSchG durchzuführenden Gefährdungsbeurteilung und dient dem Arbeitgeber als Beispiel. Zudem bezieht sich diese Tragezeit auf Tätigkeiten an einem Arbeitsplatz im Sinne des ArbSchG unter Rahmenbedingungen, die</w:t>
      </w:r>
      <w:r w:rsidR="006E77CA">
        <w:t xml:space="preserve"> erheblich beanspruchender sind</w:t>
      </w:r>
      <w:r>
        <w:t xml:space="preserve"> als beispielsweise die Benutzung öffentlicher Verkehrsmittel, weswegen grundsätzlich auch längere Tragezeiten unbedenklich sind.</w:t>
      </w:r>
      <w:r w:rsidR="002B3E09">
        <w:t xml:space="preserve"> </w:t>
      </w:r>
    </w:p>
    <w:p w:rsidR="004E2F84" w:rsidRDefault="004E2F84" w:rsidP="002B3E09">
      <w:pPr>
        <w:pStyle w:val="LTAntwortRessortText"/>
        <w:spacing w:before="0"/>
      </w:pPr>
      <w:r>
        <w:t>Sollten gesundheitliche Bedenken im Einzelfall bestehen, kann ggf. eine individuelle ärztliche Beratung sinnvoll sein.</w:t>
      </w:r>
    </w:p>
    <w:p w:rsidR="004E2F84" w:rsidRDefault="004E2F84">
      <w:bookmarkStart w:id="126" w:name="Frage_Nr_62_Ende"/>
      <w:bookmarkEnd w:id="1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A3E3F" w:rsidTr="007A3E3F">
        <w:tc>
          <w:tcPr>
            <w:tcW w:w="1883" w:type="dxa"/>
          </w:tcPr>
          <w:p w:rsidR="007A3E3F" w:rsidRDefault="007A3E3F" w:rsidP="007A3E3F">
            <w:pPr>
              <w:pStyle w:val="LTAnfrageInitiator"/>
            </w:pPr>
            <w:r>
              <w:lastRenderedPageBreak/>
              <w:t>Abgeordneter</w:t>
            </w:r>
            <w:r>
              <w:rPr>
                <w:b/>
              </w:rPr>
              <w:br/>
              <w:t>Maximilian</w:t>
            </w:r>
            <w:r>
              <w:rPr>
                <w:b/>
              </w:rPr>
              <w:br/>
              <w:t>Deisenhofer</w:t>
            </w:r>
            <w:r>
              <w:rPr>
                <w:b/>
              </w:rPr>
              <w:br/>
            </w:r>
            <w:r>
              <w:t>(BÜNDNIS 90/DIE GRÜNEN)</w:t>
            </w:r>
            <w:bookmarkStart w:id="127" w:name="Frage_Nr_63"/>
            <w:bookmarkEnd w:id="127"/>
          </w:p>
        </w:tc>
        <w:tc>
          <w:tcPr>
            <w:tcW w:w="5733" w:type="dxa"/>
          </w:tcPr>
          <w:p w:rsidR="007A3E3F" w:rsidRPr="00C84F2D" w:rsidRDefault="007A3E3F" w:rsidP="006E77CA">
            <w:pPr>
              <w:pStyle w:val="LTAnfrageText"/>
            </w:pPr>
            <w:r w:rsidRPr="00C84F2D">
              <w:t xml:space="preserve">Ich frage die Staatsregierung, welche wissenschaftlichen Erkenntnisse liegen der Staatsregierung in Zusammenhang mit den </w:t>
            </w:r>
            <w:r w:rsidR="006E77CA">
              <w:t>Spielen der Fußball-Europameisterschaft</w:t>
            </w:r>
            <w:r w:rsidRPr="00C84F2D">
              <w:t xml:space="preserve"> vor Publikum in der Münchner Allianz Arena vor, welche Auswirkungen haben diese Erkenntnisse auf weitere Sport-Großveranstaltungen wie beispielsweise die Begegnungen der Fußball-Bundesliga und wie viele Bußgeldverfahren oder rechtliche Schritte der Union der Europäischen Fußballverbände (UEFA) wurden nach Kenntnis der Staatsregierung aufgrund von Verstößen gegen die Bayerische Infektionsschutzmaßnahmenverordnung bzw. gegen die COVID-19-Richtlinien im Stadion in Zusammenhang mit den EM-Spielen in der Münchner Allianz Arena eingeleitet?</w:t>
            </w:r>
          </w:p>
        </w:tc>
        <w:tc>
          <w:tcPr>
            <w:tcW w:w="5733" w:type="dxa"/>
          </w:tcPr>
          <w:p w:rsidR="007A3E3F" w:rsidRDefault="007A3E3F" w:rsidP="007A3E3F">
            <w:pPr>
              <w:pStyle w:val="LTAnfrageText"/>
            </w:pPr>
          </w:p>
        </w:tc>
      </w:tr>
    </w:tbl>
    <w:p w:rsidR="004E2F84" w:rsidRDefault="004E2F84" w:rsidP="00F559D3">
      <w:pPr>
        <w:pStyle w:val="LTUeberschrAntwortRessort"/>
        <w:spacing w:before="240"/>
      </w:pPr>
      <w:r>
        <w:t>Antwort des Staatsministeriums für Gesundheit und Pflege</w:t>
      </w:r>
      <w:r w:rsidR="00F559D3">
        <w:t>n in Abstimmung mit dem Staatsministerium des Innern, für Sport und Integration</w:t>
      </w:r>
    </w:p>
    <w:p w:rsidR="004E2F84" w:rsidRDefault="004E2F84" w:rsidP="004E2F84">
      <w:pPr>
        <w:pStyle w:val="LTAntwortRessortText"/>
      </w:pPr>
      <w:r>
        <w:t>Es fanden insgesamt vier Spiele der UEFA</w:t>
      </w:r>
      <w:r w:rsidR="006E77CA">
        <w:t>-Europameisterschaft (EM)</w:t>
      </w:r>
      <w:r>
        <w:t xml:space="preserve"> 2020 in der Allianz Arena in München statt, am 15.06., am 19.06., am 23.06. und am 02.07.2021. Das Landesamt für Gesundheit und Lebensmittelsicherheit (LGL) führt in Zusammenarbeit mit den bayerischen Gesundheitsämtern ein Projekt zur intensivierten Surveillance von infizierten P</w:t>
      </w:r>
      <w:r w:rsidR="00DF4808">
        <w:t>ersonen durch, die eines der EM-</w:t>
      </w:r>
      <w:r>
        <w:t>Spiele in München besucht haben.</w:t>
      </w:r>
    </w:p>
    <w:p w:rsidR="004E2F84" w:rsidRDefault="004E2F84" w:rsidP="00F559D3">
      <w:pPr>
        <w:pStyle w:val="LTAntwortRessortText"/>
        <w:spacing w:before="0"/>
      </w:pPr>
      <w:r>
        <w:t>Abschließende Ergebnisse liegen noch nicht vor, da mögliche Fälle aufgrund der Inkubationszeiten erst mit zeitlichem Verzug von bis zu 14 Tagen bekannt werden können.</w:t>
      </w:r>
    </w:p>
    <w:p w:rsidR="004E2F84" w:rsidRDefault="004E2F84" w:rsidP="004E2F84">
      <w:pPr>
        <w:pStyle w:val="LTAntwortRessortText"/>
      </w:pPr>
      <w:r>
        <w:t xml:space="preserve">Seit dem 01.07.2021 </w:t>
      </w:r>
      <w:r w:rsidR="00DF4808">
        <w:t>sind bei Sportveranstaltungen 1 </w:t>
      </w:r>
      <w:r>
        <w:t>500 Zuschauer im Außenbereich erlaubt (§ 12 Abs. 2 der Dreizehnten Bayerischen Infe</w:t>
      </w:r>
      <w:r w:rsidR="00DF4808">
        <w:t>ktionsschutzmaßnahmenverordnung –</w:t>
      </w:r>
      <w:r>
        <w:t xml:space="preserve"> 13. BayIfSMV), von denen höchstens 200 stehend ohne festen Sitzplatz mit einem Mindestabstand von 1,5 m zueinander und die übrigen nur mit festem Sitzplatz teilnehmen dürfen. Die Gesichtsmaske kann am Sitzplatz abgenommen werden. Auf Stehplätzen muss die Gesichtsmaske weiterhin getragen werden (nach Ziffer 7a des Rahmenkonzeptes Sport vom 01.07.2021).</w:t>
      </w:r>
    </w:p>
    <w:p w:rsidR="004E2F84" w:rsidRDefault="004E2F84" w:rsidP="004E2F84">
      <w:pPr>
        <w:pStyle w:val="LTAntwortRessortText"/>
      </w:pPr>
      <w:r>
        <w:t xml:space="preserve">Die Chefinnen und Chefs der Staats- und Senatskanzleien haben am 06.07.2021 </w:t>
      </w:r>
      <w:r w:rsidR="003F1661">
        <w:t>u. a.</w:t>
      </w:r>
      <w:r>
        <w:t xml:space="preserve"> beschlossen, große Sportveranstaltunge</w:t>
      </w:r>
      <w:r w:rsidR="00DF4808">
        <w:t>n mit Zuschauendenzahlen über 5 </w:t>
      </w:r>
      <w:r>
        <w:t>000 rechtzeitig zum Start der jeweiligen deutschen Profiligen bzw. Pokalwettbewerbe abgestimmt zu regeln. Unter Beachtung der einschlägigen Hygienekonzepte soll die zulässige Auslastung oberhalb der</w:t>
      </w:r>
      <w:r w:rsidR="009A7E26">
        <w:t xml:space="preserve"> </w:t>
      </w:r>
      <w:r w:rsidR="00DF4808">
        <w:t>absoluten Zahl 5 </w:t>
      </w:r>
      <w:r>
        <w:t>000 bei maximal 50 Prozent der jeweiligen Höchstkapazität, jedoch nicht mehr als insge</w:t>
      </w:r>
      <w:r w:rsidR="00DF4808">
        <w:t>samt 25 </w:t>
      </w:r>
      <w:r>
        <w:t xml:space="preserve">000 Zuschauenden liegen. In Bayern soll die maximal zulässige Zuschauerzahl zunächst auf 35 </w:t>
      </w:r>
      <w:r w:rsidR="003F1661">
        <w:t>Prozent</w:t>
      </w:r>
      <w:r>
        <w:t xml:space="preserve"> der jeweilige</w:t>
      </w:r>
      <w:r w:rsidR="00DF4808">
        <w:t>n Vollauslastung und maximal 20 </w:t>
      </w:r>
      <w:r>
        <w:t xml:space="preserve">000 Zuschauer beschränkt werden. Der Beschluss der Chefinnen und Chefs der Staats- und Senatskanzleien der Länder vom </w:t>
      </w:r>
      <w:r w:rsidR="00DF4808">
        <w:t>06.07.</w:t>
      </w:r>
      <w:r>
        <w:t xml:space="preserve">2021 zum Thema </w:t>
      </w:r>
      <w:r w:rsidR="003F1661">
        <w:t>„</w:t>
      </w:r>
      <w:r>
        <w:t>Zuschauerzulassung bei großen Sportveranstaltungen mit länderübergreifendem Charakter</w:t>
      </w:r>
      <w:r w:rsidR="003F1661">
        <w:t>“</w:t>
      </w:r>
      <w:r>
        <w:t xml:space="preserve"> bedarf einer Umsetzung in der Bayerischen Infektionsschutzmaßnahmenverordnung. Die konkrete Ausgestaltung der entsprechenden Regelungen wird derzeit erarbeitet.</w:t>
      </w:r>
    </w:p>
    <w:p w:rsidR="004E2F84" w:rsidRDefault="004E2F84" w:rsidP="00F559D3">
      <w:pPr>
        <w:pStyle w:val="LTAntwortRessortText"/>
      </w:pPr>
      <w:r>
        <w:t>Im Rahmen der Spielbegegnungen der UEFA</w:t>
      </w:r>
      <w:r w:rsidR="006E77CA">
        <w:t>-EM</w:t>
      </w:r>
      <w:r>
        <w:t xml:space="preserve"> 2020 wurden durch das örtlich zuständige Polizeipräsidium München bislang keine Anzeigen wegen Verstößen gegen die 13. BayIfSMV im Stadion (Fußballarena München) aufgenommen. Über rechtliche Schritte der UEFA in diesem Zusammenhang liegen der Staatsregierung keine Informationen vor.</w:t>
      </w:r>
      <w:bookmarkStart w:id="128" w:name="Frage_Nr_63_Ende"/>
      <w:bookmarkEnd w:id="1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A3E3F" w:rsidTr="007A3E3F">
        <w:tc>
          <w:tcPr>
            <w:tcW w:w="1883" w:type="dxa"/>
          </w:tcPr>
          <w:p w:rsidR="007A3E3F" w:rsidRDefault="007A3E3F" w:rsidP="007A3E3F">
            <w:pPr>
              <w:pStyle w:val="LTAnfrageInitiator"/>
            </w:pPr>
            <w:r>
              <w:lastRenderedPageBreak/>
              <w:t>Abgeordnete</w:t>
            </w:r>
            <w:r>
              <w:rPr>
                <w:b/>
              </w:rPr>
              <w:br/>
              <w:t>Anne</w:t>
            </w:r>
            <w:r>
              <w:rPr>
                <w:b/>
              </w:rPr>
              <w:br/>
              <w:t>Franke</w:t>
            </w:r>
            <w:r>
              <w:rPr>
                <w:b/>
              </w:rPr>
              <w:br/>
            </w:r>
            <w:r>
              <w:t>(BÜNDNIS 90/DIE GRÜNEN)</w:t>
            </w:r>
            <w:bookmarkStart w:id="129" w:name="Frage_Nr_64"/>
            <w:bookmarkEnd w:id="129"/>
          </w:p>
        </w:tc>
        <w:tc>
          <w:tcPr>
            <w:tcW w:w="5733" w:type="dxa"/>
          </w:tcPr>
          <w:p w:rsidR="007A3E3F" w:rsidRPr="00C84F2D" w:rsidRDefault="007A3E3F" w:rsidP="00C84F2D">
            <w:pPr>
              <w:pStyle w:val="LTAnfrageText"/>
            </w:pPr>
            <w:r w:rsidRPr="00C84F2D">
              <w:t>Ich frage die Staatsregierung, in wie vielen bayerischen Landkreisen findet bereits Abwasserüberwachung zur Früherkennung von Corona-Infektionen statt, bis wann soll die Empfehlung der Europäischen Kommission (EU) 2021/472, in allen Mitgliedstaaten ein Abwassermonitoring-System als Frühwarnsystem zur Bekämpfung von Corona aufzubauen, in den bayerischen Klärwerken umgesetzt sein und wie werden die bayerischen Kommunen bei der Einführung dieser – in vielen europäischen Ländern schon vor Corona zum Standard gehörenden Methode – unterstützt? </w:t>
            </w:r>
          </w:p>
        </w:tc>
        <w:tc>
          <w:tcPr>
            <w:tcW w:w="5733" w:type="dxa"/>
          </w:tcPr>
          <w:p w:rsidR="007A3E3F" w:rsidRDefault="007A3E3F" w:rsidP="007A3E3F">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In der Empfehlung der Europäischen Kommission (E</w:t>
      </w:r>
      <w:r w:rsidR="006E77CA">
        <w:t>U) 2021/472 werden die Mitglied</w:t>
      </w:r>
      <w:r>
        <w:t>staaten aufgefordert, ein Abwassermonitoring-System als Frühwarnsystem zur Bekämpfung von Corona aufzubauen. Der Bund prüft derzeit die Errichtung eines nationalen Abwassermonitorings. Dazu werden bis Ende 2021 laufende Pilotprojekte ausgewertet. Anschließend wird über die weitergehende Unterstützung von Kommunen zu entscheiden sein.</w:t>
      </w:r>
    </w:p>
    <w:p w:rsidR="004E2F84" w:rsidRDefault="004E2F84" w:rsidP="00F559D3">
      <w:pPr>
        <w:pStyle w:val="LTAntwortRessortText"/>
        <w:spacing w:before="0"/>
      </w:pPr>
      <w:r>
        <w:t xml:space="preserve">In Bayern wird ein Abwassermonitoring teilweise bereits umgesetzt. Im Landkreis Berchtesgadener Land wird in einem beispielhaften Projekt der Technischen Universität München mit Unterstützung der Bundeswehr seit November 2020 ein flächendeckendes </w:t>
      </w:r>
      <w:r w:rsidR="003F1661">
        <w:t>SARS</w:t>
      </w:r>
      <w:r w:rsidR="006E77CA">
        <w:t>-CoV-2-</w:t>
      </w:r>
      <w:r>
        <w:t>Biomarker-Abwasser-Monitoring durchgeführt, dessen Ergebnisse die Lagebeurteilung vor Ort unterstützt und dazu beigetragen hat, Ausbruchsereignisse aufzudecken. Auch in anderen Regionen, etwa in Freising, Nürnberg, Augsburg, Erlangen, Starnberg, Ebersberg und München, werden mit Unterstützung der Bundeswehr und der Ludwig-Maximilians-Universität München Abwasserproben untersucht. Informationen über die genaue Anzahl an partizipierenden Landkreisen stehen dem St</w:t>
      </w:r>
      <w:r w:rsidR="00DF4808">
        <w:t>aatsministerium für Gesundheit und Pflege</w:t>
      </w:r>
      <w:r>
        <w:t xml:space="preserve"> nicht zur Verfügung.</w:t>
      </w:r>
    </w:p>
    <w:p w:rsidR="004E2F84" w:rsidRDefault="004E2F84">
      <w:bookmarkStart w:id="130" w:name="Frage_Nr_64_Ende"/>
      <w:bookmarkEnd w:id="1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40E33" w:rsidTr="00F40E33">
        <w:tc>
          <w:tcPr>
            <w:tcW w:w="1883" w:type="dxa"/>
          </w:tcPr>
          <w:p w:rsidR="00F40E33" w:rsidRDefault="00F40E33" w:rsidP="00F40E33">
            <w:pPr>
              <w:pStyle w:val="LTAnfrageInitiator"/>
            </w:pPr>
            <w:r>
              <w:lastRenderedPageBreak/>
              <w:t>Abgeordnete</w:t>
            </w:r>
            <w:r>
              <w:rPr>
                <w:b/>
              </w:rPr>
              <w:br/>
              <w:t>Christina</w:t>
            </w:r>
            <w:r>
              <w:rPr>
                <w:b/>
              </w:rPr>
              <w:br/>
              <w:t>Haubrich</w:t>
            </w:r>
            <w:r>
              <w:rPr>
                <w:b/>
              </w:rPr>
              <w:br/>
            </w:r>
            <w:r>
              <w:t>(BÜNDNIS 90/DIE GRÜNEN)</w:t>
            </w:r>
            <w:bookmarkStart w:id="131" w:name="Frage_Nr_65"/>
            <w:bookmarkEnd w:id="131"/>
          </w:p>
        </w:tc>
        <w:tc>
          <w:tcPr>
            <w:tcW w:w="5733" w:type="dxa"/>
          </w:tcPr>
          <w:p w:rsidR="00F40E33" w:rsidRPr="00C84F2D" w:rsidRDefault="00F40E33" w:rsidP="00C84F2D">
            <w:pPr>
              <w:pStyle w:val="LTAnfrageText"/>
            </w:pPr>
            <w:r w:rsidRPr="00C84F2D">
              <w:t>Ich frage die Staatsregierung, welche Anreize will sie für vollständig Geimpfte schaffen, werden Corona-Infomobile wie in Augsburg bayernweit eingesetzt, um mehrsprachig über die Impfung zu informieren, und welche Strafen erwägt die Staatsregierung für Menschen, die ihre Impftermine nicht wahrnehmen?</w:t>
            </w:r>
          </w:p>
        </w:tc>
        <w:tc>
          <w:tcPr>
            <w:tcW w:w="5733" w:type="dxa"/>
          </w:tcPr>
          <w:p w:rsidR="00F40E33" w:rsidRDefault="00F40E33" w:rsidP="00F40E33">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Das St</w:t>
      </w:r>
      <w:r w:rsidR="00DF4808">
        <w:t>aatsministerium für Gesundheit und Pflege (St</w:t>
      </w:r>
      <w:r>
        <w:t>MGP</w:t>
      </w:r>
      <w:r w:rsidR="00DF4808">
        <w:t>)</w:t>
      </w:r>
      <w:r>
        <w:t xml:space="preserve"> verfolgt das Ziel, den Impffortschritt und die Impfbereitschaft zu steigern. So startete am 29.06.2021 die Impfkampagne </w:t>
      </w:r>
      <w:r w:rsidR="003F1661">
        <w:t>„</w:t>
      </w:r>
      <w:r>
        <w:t>Ich tu's für...</w:t>
      </w:r>
      <w:r w:rsidR="003F1661">
        <w:t>“</w:t>
      </w:r>
      <w:r>
        <w:t xml:space="preserve">, insbesondere um die Impfbereitschaft der Unentschlossenen zu steigern. An der Kampagne beteiligen sich auch mehrere Prominente, die gezielt für eine Schutzimpfung gegen das Coronavirus </w:t>
      </w:r>
      <w:r w:rsidR="003F1661">
        <w:t>SARS</w:t>
      </w:r>
      <w:r>
        <w:t>-CoV-2 werben. Mit der vollständigen Aufhebung der Priorisierung und der Erweiterung der Impfangebote in der Breite (durch Privat- und Betriebsärzte, niedergelassene Ärzte und weitere Kooperationspartner) können alle impfwilligen Personen nunmehr niedrigschwellig rasch eine Corona-Schutzimpfung erhalten. Sollte die Impfkampagne durch diese Maßnahmen nicht den gewünschten Erfolg erzielen, können zur Schaffung eines Impfanreizes weitere Lockerungen für vollständig Geimpfte in Betracht gezogen werden.</w:t>
      </w:r>
    </w:p>
    <w:p w:rsidR="004E2F84" w:rsidRDefault="004E2F84" w:rsidP="004E2F84">
      <w:pPr>
        <w:pStyle w:val="LTAntwortRessortText"/>
      </w:pPr>
      <w:r>
        <w:t>Ein zentraler Einsatz sog. Corona-Infomobile zur Information über Impfungen ist neben bereits laufenden Informationskampagnen und vorhandenen Informations</w:t>
      </w:r>
      <w:r w:rsidR="006E77CA">
        <w:t>möglichkeiten nicht geplant,</w:t>
      </w:r>
      <w:r>
        <w:t xml:space="preserve"> aber nach eigener Entscheidung des jeweiligen Impfzentrums bzw. der Kreisverwaltungsbehörden möglich.</w:t>
      </w:r>
    </w:p>
    <w:p w:rsidR="004E2F84" w:rsidRDefault="004E2F84" w:rsidP="004E2F84">
      <w:pPr>
        <w:pStyle w:val="LTAntwortRessortText"/>
      </w:pPr>
      <w:r>
        <w:t>Das StMGP prüft aktuell mögliche Maßnahmen, wie die Impfbereitschaft weiterhin erhalten werden kann. Aktuell werden Patientenimpfungen in Krankenhäusern ausgeweitet und Betriebsimpfungen für kleine und mittlere Unternehmen weiterhin unterstützt.</w:t>
      </w:r>
    </w:p>
    <w:p w:rsidR="004E2F84" w:rsidRDefault="004E2F84" w:rsidP="004E2F84">
      <w:pPr>
        <w:pStyle w:val="LTAntwortRessortText"/>
      </w:pPr>
      <w:r>
        <w:t>Die Gründe, warum Impftermine nicht wahrgenommen werden, sind vielschichtig. Die Staatsregierung setzt auf die Freiwilligkeit der Impfungen. Wenn allerdings die notwendige Solidarität bei einzelnen Bürgerinnen und Bürgern nicht vorhanden sein sollte und Impftermine nicht wahrgenommen werden</w:t>
      </w:r>
      <w:r w:rsidR="006E77CA">
        <w:t>, ist zu prüfen, wie diese, ggf</w:t>
      </w:r>
      <w:r>
        <w:t>. über Sanktionen, eingefordert werden kann.</w:t>
      </w:r>
    </w:p>
    <w:p w:rsidR="004E2F84" w:rsidRDefault="004E2F84">
      <w:bookmarkStart w:id="132" w:name="Frage_Nr_65_Ende"/>
      <w:bookmarkEnd w:id="13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327A9" w:rsidTr="007327A9">
        <w:tc>
          <w:tcPr>
            <w:tcW w:w="1883" w:type="dxa"/>
          </w:tcPr>
          <w:p w:rsidR="007327A9" w:rsidRDefault="007327A9" w:rsidP="007327A9">
            <w:pPr>
              <w:pStyle w:val="LTAnfrageInitiator"/>
            </w:pPr>
            <w:r>
              <w:lastRenderedPageBreak/>
              <w:t>Abgeordneter</w:t>
            </w:r>
            <w:r>
              <w:rPr>
                <w:b/>
              </w:rPr>
              <w:br/>
              <w:t>Paul</w:t>
            </w:r>
            <w:r>
              <w:rPr>
                <w:b/>
              </w:rPr>
              <w:br/>
              <w:t>Knoblach</w:t>
            </w:r>
            <w:r>
              <w:rPr>
                <w:b/>
              </w:rPr>
              <w:br/>
            </w:r>
            <w:r>
              <w:t>(BÜNDNIS 90/DIE GRÜNEN)</w:t>
            </w:r>
            <w:bookmarkStart w:id="133" w:name="Frage_Nr_66"/>
            <w:bookmarkEnd w:id="133"/>
          </w:p>
        </w:tc>
        <w:tc>
          <w:tcPr>
            <w:tcW w:w="5733" w:type="dxa"/>
          </w:tcPr>
          <w:p w:rsidR="007327A9" w:rsidRPr="00C84F2D" w:rsidRDefault="007327A9" w:rsidP="00C84F2D">
            <w:pPr>
              <w:pStyle w:val="LTAnfrageText"/>
            </w:pPr>
            <w:r w:rsidRPr="00C84F2D">
              <w:t>Ich frage die Staatsregierung, wie viele Sequenzierungen von Corona-PCR-Tests werden derzeit pro Woche in Bayern durchgeführt, um neue Varianten frühzeitig zu erkennen, wie werden deren Ergebnisse veröffentlicht und wird sie die Untersuchung von Abwasser zur frühzeitigen und zuverlässigen Erkennung von Corona-Ausbrüchen beauftragen?</w:t>
            </w:r>
          </w:p>
        </w:tc>
        <w:tc>
          <w:tcPr>
            <w:tcW w:w="5733" w:type="dxa"/>
          </w:tcPr>
          <w:p w:rsidR="007327A9" w:rsidRDefault="007327A9" w:rsidP="007327A9">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Derzeit werden aus bayerischen Labors entsprechend der Allgemeinverfügung zur Labormeldepflicht zwischen etwa 300 (KW 24) und 60 (KW 26) Sequenzierungen gemeldet. Sequenzierungen, die in außerbayerischen Labors bzw. an außerbayerischen Laborstandorten durchgeführt werden, fließen in diese Daten nicht ein. Des Weiteren ist eine Sequenzierung von Proben, die sich in den VOC-PCR-Untersuchungen als Alpha-Variante erweisen, aus fachlicher Sicht nicht notwendig. Insofern geben die Daten, die über die Gesundheitsämter gemäß den Meldeverpflichtungen nach</w:t>
      </w:r>
      <w:r w:rsidR="00C65599">
        <w:t xml:space="preserve"> dem Infektionsschutzgesetz</w:t>
      </w:r>
      <w:r>
        <w:t xml:space="preserve"> </w:t>
      </w:r>
      <w:r w:rsidR="00C65599">
        <w:t>(</w:t>
      </w:r>
      <w:r>
        <w:t>IfSG</w:t>
      </w:r>
      <w:r w:rsidR="00C65599">
        <w:t>)</w:t>
      </w:r>
      <w:r>
        <w:t xml:space="preserve"> eingehen und die unabhängig vom Laborstandort gemeldet werden, ein wesentlich umfassenderes Bild. Die Ergebnisse der Sequenzierungen fließen über die bekannten Meldewege in die IfSG-Meldedaten</w:t>
      </w:r>
    </w:p>
    <w:p w:rsidR="004E2F84" w:rsidRDefault="004E2F84" w:rsidP="00F559D3">
      <w:pPr>
        <w:pStyle w:val="LTAntwortRessortText"/>
        <w:spacing w:before="0"/>
      </w:pPr>
      <w:r>
        <w:t>(</w:t>
      </w:r>
      <w:hyperlink r:id="rId22" w:history="1">
        <w:r w:rsidRPr="00DF4808">
          <w:rPr>
            <w:rStyle w:val="LTHyperlinkZchn"/>
            <w:b w:val="0"/>
          </w:rPr>
          <w:t>https://www.lgl.bayern.de/gesundheit/infektionsschutz/infektionskrankheiten_a_z/coronavirus/karte_coronavirus/voc_zahlen.htm</w:t>
        </w:r>
      </w:hyperlink>
      <w:r>
        <w:t>) sowie in die durch das R</w:t>
      </w:r>
      <w:r w:rsidR="00DF4808">
        <w:t>obert Koch-Institut</w:t>
      </w:r>
      <w:r>
        <w:t xml:space="preserve"> veröffentlichten Daten</w:t>
      </w:r>
      <w:r w:rsidR="00DF4808">
        <w:t xml:space="preserve"> </w:t>
      </w:r>
      <w:r>
        <w:t>(</w:t>
      </w:r>
      <w:hyperlink r:id="rId23" w:history="1">
        <w:r w:rsidR="00F559D3" w:rsidRPr="00DF4808">
          <w:rPr>
            <w:rStyle w:val="LTHyperlinkZchn"/>
            <w:b w:val="0"/>
          </w:rPr>
          <w:t>https://www.rki.de/DE/Content/InfAZ/N/Neuartiges_Coronavirus/DESH/Berichte-VOC-tab.html</w:t>
        </w:r>
      </w:hyperlink>
      <w:r>
        <w:t>)</w:t>
      </w:r>
      <w:r w:rsidR="00F559D3">
        <w:t xml:space="preserve"> </w:t>
      </w:r>
      <w:r>
        <w:t>ein. Es gilt zu berücksichtigen, dass</w:t>
      </w:r>
      <w:r w:rsidR="00C65599">
        <w:t xml:space="preserve"> die Sequenzierung ein zeitaufwe</w:t>
      </w:r>
      <w:r>
        <w:t xml:space="preserve">ndiges Laborverfahren ist und die Ergebnisse erst mit einem Nachlauf von etwa </w:t>
      </w:r>
      <w:r w:rsidR="00DF4808">
        <w:t>zwei bis drei</w:t>
      </w:r>
      <w:r>
        <w:t xml:space="preserve"> Wochen vorliegen.</w:t>
      </w:r>
    </w:p>
    <w:p w:rsidR="004E2F84" w:rsidRDefault="004E2F84" w:rsidP="004E2F84">
      <w:pPr>
        <w:pStyle w:val="LTAntwortRessortText"/>
      </w:pPr>
      <w:r>
        <w:t>Die Empfehlung der Europäischen Kommission (E</w:t>
      </w:r>
      <w:r w:rsidR="00C65599">
        <w:t>U) 2021/472, in allen Mitglieds</w:t>
      </w:r>
      <w:r>
        <w:t>taaten ein</w:t>
      </w:r>
      <w:r w:rsidR="009A7E26">
        <w:t xml:space="preserve"> </w:t>
      </w:r>
      <w:r>
        <w:t xml:space="preserve">Abwassermonitoring-System als Frühwarnsystem zur Bekämpfung von Corona aufzubauen, wird in Bayern bereits umgesetzt. Im Landkreis Berchtesgadener Land wird in einem beispielhaften Projekt der Technischen Universität München mit Unterstützung der Bundeswehr seit November 2020 ein flächendeckendes </w:t>
      </w:r>
      <w:r w:rsidR="003F1661">
        <w:t>SARS</w:t>
      </w:r>
      <w:r w:rsidR="00C65599">
        <w:t>-CoV-2-</w:t>
      </w:r>
      <w:r>
        <w:t>Biomarker-Abwasser-Monitoring durchgeführt, dessen Ergebnisse die Lagebeurteilung vor Ort unterstützt und dazu beigetragen hat, Ausbruchsereignisse aufzudecken. Auch in anderen Regionen, etwa in Freising, Nürnberg, Augsburg, Erlangen, Starnberg, Ebersberg und München, werden mit Unterstützung der Bundeswehr und der Ludwig-Maximilians-Universität München Abwasserproben untersucht.</w:t>
      </w:r>
    </w:p>
    <w:p w:rsidR="004E2F84" w:rsidRDefault="004E2F84">
      <w:bookmarkStart w:id="134" w:name="Frage_Nr_66_Ende"/>
      <w:bookmarkEnd w:id="1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327A9" w:rsidTr="007327A9">
        <w:tc>
          <w:tcPr>
            <w:tcW w:w="1883" w:type="dxa"/>
          </w:tcPr>
          <w:p w:rsidR="007327A9" w:rsidRDefault="007327A9" w:rsidP="007327A9">
            <w:pPr>
              <w:pStyle w:val="LTAnfrageInitiator"/>
            </w:pPr>
            <w:r>
              <w:lastRenderedPageBreak/>
              <w:t>Abgeordneter</w:t>
            </w:r>
            <w:r>
              <w:rPr>
                <w:b/>
              </w:rPr>
              <w:br/>
              <w:t>Andreas</w:t>
            </w:r>
            <w:r>
              <w:rPr>
                <w:b/>
              </w:rPr>
              <w:br/>
              <w:t>Krahl</w:t>
            </w:r>
            <w:r>
              <w:rPr>
                <w:b/>
              </w:rPr>
              <w:br/>
            </w:r>
            <w:r>
              <w:t>(BÜNDNIS 90/DIE GRÜNEN)</w:t>
            </w:r>
            <w:bookmarkStart w:id="135" w:name="Frage_Nr_67"/>
            <w:bookmarkEnd w:id="135"/>
          </w:p>
        </w:tc>
        <w:tc>
          <w:tcPr>
            <w:tcW w:w="5733" w:type="dxa"/>
          </w:tcPr>
          <w:p w:rsidR="007327A9" w:rsidRPr="00C84F2D" w:rsidRDefault="007327A9" w:rsidP="00C84F2D">
            <w:pPr>
              <w:pStyle w:val="LTAnfrageText"/>
            </w:pPr>
            <w:r w:rsidRPr="00C84F2D">
              <w:t>Vor dem Hintergrund, dass aktuell vielerorts eine Abnahme der Impfbereitschaft zu beobachten ist, nachdem Impftermine monatelang begehrt und ausgebucht waren und einige Impfzentren nun bereits spontane Impfungen ohne vorherige Anmeldung anbieten, frage ich die Staatsregierung, wie plant sie zu verhindern, dass bereits vorrätiger Impfstoff verfällt, inwieweit plant sie die Aufrechterhaltung der durch die Impfzentren bereitgestellten Infrastruktur und wie plant sie der sinkenden Impfbereitschaft zu begegnen?</w:t>
            </w:r>
          </w:p>
        </w:tc>
        <w:tc>
          <w:tcPr>
            <w:tcW w:w="5733" w:type="dxa"/>
          </w:tcPr>
          <w:p w:rsidR="007327A9" w:rsidRDefault="007327A9" w:rsidP="007327A9">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Es obliegt der Planung der Impfzentren, die Impfdosen rechtzeitig zu verimpfen, beispielsweise auch über Sonderaktionen. Ein Verwurf ist zu vermeiden. Darauf hat das St</w:t>
      </w:r>
      <w:r w:rsidR="00DF4808">
        <w:t>aatsministerium für Gesundheit und Pflege (St</w:t>
      </w:r>
      <w:r>
        <w:t>MGP</w:t>
      </w:r>
      <w:r w:rsidR="00DF4808">
        <w:t>)</w:t>
      </w:r>
      <w:r>
        <w:t xml:space="preserve"> bereits mehrfach hingewiesen. Damit es nicht zum Verwurf wegen Überschreitens der Haltbarkeit kommt, sind die Impfzentren seit Beginn der Impfkampagne zudem angehalten worden, sog. Hop-On-Listen mit kurzfristig zur Verfügung stehenden impfbereiten Personen zu führen.</w:t>
      </w:r>
    </w:p>
    <w:p w:rsidR="004E2F84" w:rsidRDefault="004E2F84" w:rsidP="004E2F84">
      <w:pPr>
        <w:pStyle w:val="LTAntwortRessortText"/>
      </w:pPr>
      <w:r>
        <w:t>Die Gesundheitsministerkonferenz (GMK) hat am 28.06.2021 einen Beschluss zur weiteren Zukunft der Impfzentren nach dem 30.09.2021 gefasst. Nach Auffassung der GMK wird es die vorrangige Aufgabe der niedergelassenen Ärzte sowie der Betriebsärzte sein, mögliche Auffrischungsimpfungen und etwaige Erstimpfungen im Rahmen der dezentralen ärztlichen Impfkampagne durchzuführen. Dies ermöglicht es, die Impfzentren in ihrer derzeitigen Anzahl und Kapazität spätestens zum 30.09.2021 zurückzufahren.</w:t>
      </w:r>
    </w:p>
    <w:p w:rsidR="004E2F84" w:rsidRDefault="004E2F84" w:rsidP="004E2F84">
      <w:pPr>
        <w:pStyle w:val="LTAntwortRessortText"/>
      </w:pPr>
      <w:r>
        <w:t>Um den Schutz der Bevölkerung auch nach dem 30.09.2021 zuverlässig zu gewährleisten, können entsprechend dem Beschluss der GMK vorübergehend Impfangebote mit dem Schwerpunkt auf mobilen Impfteams eingerichtet werden, die durch die Länder oder in deren Auftrag betrieben werden. Von diesem Impfangebot sollen vor allem Personengruppen in Einrichtungen wie Alten- und Pflegeheimen, Behinderteneinrichtungen, sonstigen Gemeinschaftsunterkünften (</w:t>
      </w:r>
      <w:r w:rsidR="003F1661">
        <w:t>z. B.</w:t>
      </w:r>
      <w:r>
        <w:t xml:space="preserve"> Obdachlosenunterkünfte, Asylbewerberheime) oder in prekären Lebens- und Arbeitsverhältnissen profitieren können. Auch für Menschen aus sozialen Brennpunkten und mit Migrationshintergrund können gebündelte Impfangebote geboten sein, um eine schnelle Durchführung von etwaigen Auffrischungsimpfungen zu ermöglichen.</w:t>
      </w:r>
    </w:p>
    <w:p w:rsidR="004E2F84" w:rsidRDefault="004E2F84" w:rsidP="004E2F84">
      <w:pPr>
        <w:pStyle w:val="LTAntwortRessortText"/>
      </w:pPr>
      <w:r>
        <w:t>Da eine Impfserie grundsätzlich in derjenigen Verantwortung vervollständigt werden soll, in der bereits die Erstimpfung durchgeführt wurde, sollen alle ausstehenden Zweitimpfungen zu den in</w:t>
      </w:r>
      <w:r w:rsidR="00BC55FA">
        <w:t xml:space="preserve"> </w:t>
      </w:r>
      <w:r>
        <w:t>den Impfzentren durchgeführten Erstimpfungen auch über den 30.09.2021 hinaus sichergestellt werden.</w:t>
      </w:r>
    </w:p>
    <w:p w:rsidR="004E2F84" w:rsidRDefault="004E2F84" w:rsidP="004E2F84">
      <w:pPr>
        <w:pStyle w:val="LTAntwortRessortText"/>
      </w:pPr>
      <w:r>
        <w:t>Aktuell wird auf Basis dieses Beschlusses die Fortführung eines ergänzenden staatlichen bzw. kommunalen Impfangebots in Bayern geprüft (Vorhaltung tragfähiger Rückfall- und Notfall-Optionen (Stand-by-Betrieb))</w:t>
      </w:r>
    </w:p>
    <w:p w:rsidR="004E2F84" w:rsidRDefault="004E2F84" w:rsidP="004E2F84">
      <w:pPr>
        <w:pStyle w:val="LTAntwortRessortText"/>
      </w:pPr>
      <w:r>
        <w:t xml:space="preserve">Um der sinkenden Impfbereitschaft zu begegnen, hat das StMGP am 29.06.2021 die Impfkampagne </w:t>
      </w:r>
      <w:r w:rsidR="003F1661">
        <w:t>„</w:t>
      </w:r>
      <w:r>
        <w:t>Ich tu's für...</w:t>
      </w:r>
      <w:r w:rsidR="003F1661">
        <w:t>“</w:t>
      </w:r>
      <w:r>
        <w:t xml:space="preserve"> gestartet, um die Impfbereitschaft der Unentschlossenen zu steigern. An der Kampagne beteiligen sich auch mehrere Promi</w:t>
      </w:r>
      <w:r>
        <w:lastRenderedPageBreak/>
        <w:t xml:space="preserve">nente, die gezielt für eine Schutzimpfung gegen das Coronavirus </w:t>
      </w:r>
      <w:r w:rsidR="003F1661">
        <w:t>SARS</w:t>
      </w:r>
      <w:r>
        <w:t>-CoV-2 werben. Mit der vollständigen Aufhebung der Priorisierung und der Erweiterung der Impfangebote in der Breite (durch Privat- und Betriebsärzte, niedergelassene Ärzte und weiteren Kooperationspartnern) können alle impfwilligen Personen nunmehr niedrigschwellig ras</w:t>
      </w:r>
      <w:r w:rsidR="00BC55FA">
        <w:t>ch eine Schutzimpfung erhalten.</w:t>
      </w:r>
    </w:p>
    <w:p w:rsidR="004E2F84" w:rsidRDefault="004E2F84">
      <w:bookmarkStart w:id="136" w:name="Frage_Nr_67_Ende"/>
      <w:bookmarkEnd w:id="13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327A9" w:rsidTr="007327A9">
        <w:tc>
          <w:tcPr>
            <w:tcW w:w="1840" w:type="dxa"/>
          </w:tcPr>
          <w:p w:rsidR="007327A9" w:rsidRDefault="007327A9" w:rsidP="007327A9">
            <w:pPr>
              <w:pStyle w:val="LTAnfrageInitiator"/>
            </w:pPr>
            <w:r>
              <w:lastRenderedPageBreak/>
              <w:t>Abgeordneter</w:t>
            </w:r>
            <w:r>
              <w:rPr>
                <w:b/>
              </w:rPr>
              <w:br/>
              <w:t>Roland</w:t>
            </w:r>
            <w:r>
              <w:rPr>
                <w:b/>
              </w:rPr>
              <w:br/>
              <w:t>Magerl</w:t>
            </w:r>
            <w:r>
              <w:rPr>
                <w:b/>
              </w:rPr>
              <w:br/>
            </w:r>
            <w:r>
              <w:t>(AfD)</w:t>
            </w:r>
            <w:bookmarkStart w:id="137" w:name="Frage_Nr_68"/>
            <w:bookmarkEnd w:id="137"/>
          </w:p>
        </w:tc>
        <w:tc>
          <w:tcPr>
            <w:tcW w:w="5776" w:type="dxa"/>
          </w:tcPr>
          <w:p w:rsidR="007327A9" w:rsidRPr="00C84F2D" w:rsidRDefault="007327A9" w:rsidP="00C84F2D">
            <w:pPr>
              <w:pStyle w:val="LTAnfrageText"/>
            </w:pPr>
            <w:r w:rsidRPr="00C84F2D">
              <w:t>Ich frage die Staatsregierung, wie viele Menschen sind bislang an der sogenannten Delta-Variante des SARS-CoV-2-Virus erkrankt (Angaben bitte in absoluten Zahlen und prozentualem Anteil), wie viele der an der Delta-Variante erkrankten Personen sind bislang verstorben (Angaben bitte in absoluten Zahlen und prozentualem Anteil) und wie viele der an der Delta-Variante erkrankten oder verstorbenen Personen waren geimpft (bitte nach Impfstoff auflisten)?</w:t>
            </w:r>
          </w:p>
        </w:tc>
        <w:tc>
          <w:tcPr>
            <w:tcW w:w="5776" w:type="dxa"/>
          </w:tcPr>
          <w:p w:rsidR="007327A9" w:rsidRDefault="007327A9" w:rsidP="007327A9">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Die besorgniserregende Variante (VOC) Delta wird mit aufwändigen Sequenzierungen nachgewiesen, für die eine längere Bearbeitungszeit eingeplant werden muss. Folglich ist mit den Erg</w:t>
      </w:r>
      <w:r w:rsidR="00FB2E54">
        <w:t>ebnissen erst zwei bis drei</w:t>
      </w:r>
      <w:r>
        <w:t xml:space="preserve"> Wochen nach der Fallmeldung selbst zu rechnen. Bei der Interpretation von Meldungen pro Meldewoche ist zu berücksichtigen, dass sich diese Angaben daher rückwirkend ändern können.</w:t>
      </w:r>
    </w:p>
    <w:p w:rsidR="004E2F84" w:rsidRDefault="004E2F84" w:rsidP="00D03755">
      <w:pPr>
        <w:pStyle w:val="LTAntwortRessortText"/>
        <w:numPr>
          <w:ilvl w:val="0"/>
          <w:numId w:val="31"/>
        </w:numPr>
        <w:spacing w:before="0"/>
        <w:ind w:left="697" w:hanging="357"/>
      </w:pPr>
      <w:r>
        <w:t>Mit Datenstand 06.07.2021, 08</w:t>
      </w:r>
      <w:r w:rsidR="00351B35">
        <w:t>.</w:t>
      </w:r>
      <w:r>
        <w:t xml:space="preserve">00 Uhr wurden insgesamt 659 mit der Delta-Variante infizierte Fälle in Bayern gemeldet. In KW 25 wurden 130 Fälle mit der Delta-Variante gemeldet; dabei handelte es sich um 14 </w:t>
      </w:r>
      <w:r w:rsidR="003F1661">
        <w:t>Prozent</w:t>
      </w:r>
      <w:r>
        <w:t xml:space="preserve"> von allen Meldefällen dieser Woche.</w:t>
      </w:r>
    </w:p>
    <w:p w:rsidR="004E2F84" w:rsidRDefault="004E2F84" w:rsidP="00D03755">
      <w:pPr>
        <w:pStyle w:val="LTAntwortRessortText"/>
        <w:numPr>
          <w:ilvl w:val="0"/>
          <w:numId w:val="31"/>
        </w:numPr>
        <w:spacing w:before="0"/>
        <w:ind w:left="697" w:hanging="357"/>
      </w:pPr>
      <w:r>
        <w:t xml:space="preserve">Sechs der insgesamt 659 gemeldeten Fälle wurden als verstorben gemeldet (entspricht ca. 1 </w:t>
      </w:r>
      <w:r w:rsidR="003F1661">
        <w:t>Prozent</w:t>
      </w:r>
      <w:r>
        <w:t>)</w:t>
      </w:r>
    </w:p>
    <w:p w:rsidR="004E2F84" w:rsidRDefault="004E2F84" w:rsidP="00E404BB">
      <w:pPr>
        <w:pStyle w:val="LTAntwortRessortText"/>
        <w:numPr>
          <w:ilvl w:val="0"/>
          <w:numId w:val="31"/>
        </w:numPr>
        <w:spacing w:before="0"/>
        <w:ind w:left="697" w:hanging="357"/>
      </w:pPr>
      <w:r>
        <w:t>Von den 659 Fällen waren 22 vollständig geimpft (mi</w:t>
      </w:r>
      <w:r w:rsidR="00BC55FA">
        <w:t>t BioNTech/Pfizer 19, mit Astra</w:t>
      </w:r>
      <w:r>
        <w:t>Zeneca 2 und mit Johnson&amp;Johnson 1).</w:t>
      </w:r>
      <w:r w:rsidR="00D03755">
        <w:t xml:space="preserve"> </w:t>
      </w:r>
      <w:r>
        <w:t>Von den sechs Menschen, die mit der Delta-Variante bis einschließlich Meldewoche 26 als verstorben gemeldet wurden, war keine Person vollständig geimpft.</w:t>
      </w:r>
    </w:p>
    <w:p w:rsidR="004E2F84" w:rsidRDefault="004E2F84">
      <w:bookmarkStart w:id="138" w:name="Frage_Nr_68_Ende"/>
      <w:bookmarkEnd w:id="138"/>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7327A9" w:rsidTr="007327A9">
        <w:tc>
          <w:tcPr>
            <w:tcW w:w="1877" w:type="dxa"/>
          </w:tcPr>
          <w:p w:rsidR="007327A9" w:rsidRDefault="007327A9" w:rsidP="007327A9">
            <w:pPr>
              <w:pStyle w:val="LTAnfrageInitiator"/>
            </w:pPr>
            <w:r>
              <w:lastRenderedPageBreak/>
              <w:t>Abgeordneter</w:t>
            </w:r>
            <w:r>
              <w:rPr>
                <w:b/>
              </w:rPr>
              <w:br/>
              <w:t>Stefan</w:t>
            </w:r>
            <w:r>
              <w:rPr>
                <w:b/>
              </w:rPr>
              <w:br/>
              <w:t>Schuster</w:t>
            </w:r>
            <w:r>
              <w:rPr>
                <w:b/>
              </w:rPr>
              <w:br/>
            </w:r>
            <w:r>
              <w:t>(SPD)</w:t>
            </w:r>
            <w:bookmarkStart w:id="139" w:name="Frage_Nr_69"/>
            <w:bookmarkEnd w:id="139"/>
          </w:p>
        </w:tc>
        <w:tc>
          <w:tcPr>
            <w:tcW w:w="5739" w:type="dxa"/>
          </w:tcPr>
          <w:p w:rsidR="007327A9" w:rsidRPr="00C84F2D" w:rsidRDefault="007327A9" w:rsidP="00C84F2D">
            <w:pPr>
              <w:pStyle w:val="LTAnfrageText"/>
            </w:pPr>
            <w:r w:rsidRPr="00C84F2D">
              <w:t>Ich frage die Staatsregierung, sind ihr angesichts der Empfehlung der Ständigen Impfkommission (STIKO) zu Kreuzimpfungen mit AstraZeneca und Biontech oder Moderna Erkenntnisse bekannt, ob bzw. für welche Alters-/Menschengruppen unter 60 Jahren dies empfohlen wird und plant die Staatsregierung, diese Impfkombination in Bayern verstärkt einzusetzen, damit eine schnellere Zweitimpfung möglich ist und AstraZeneca nicht „liegenbleibt“?</w:t>
            </w:r>
          </w:p>
        </w:tc>
        <w:tc>
          <w:tcPr>
            <w:tcW w:w="5739" w:type="dxa"/>
          </w:tcPr>
          <w:p w:rsidR="007327A9" w:rsidRDefault="007327A9" w:rsidP="007327A9">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Aufgrund sehr seltener schwerer Nebenwirkungen, die v.</w:t>
      </w:r>
      <w:r w:rsidR="00351B35">
        <w:t> </w:t>
      </w:r>
      <w:r>
        <w:t xml:space="preserve">a. bei Frauen unter 50 Jahren aufgetreten sind, hat die STIKO die beiden </w:t>
      </w:r>
      <w:r w:rsidR="00351B35">
        <w:t>vektor</w:t>
      </w:r>
      <w:r>
        <w:t xml:space="preserve">basierten Impfstoffe (Vaxzevria der Firma AstraZeneca und </w:t>
      </w:r>
      <w:r w:rsidR="003F1661">
        <w:t>COVID</w:t>
      </w:r>
      <w:r>
        <w:t>-19 Vaccine Janssen der Firma Janssen Cilag International) nur für Personen im Alter von 60 Jahren und darüber emp</w:t>
      </w:r>
      <w:r w:rsidR="00FB2E54">
        <w:t>fohlen. Der Einsatz der beiden vektor</w:t>
      </w:r>
      <w:r>
        <w:t>basierten Impfstoffe unterhalb dieser Altersgrenze von 60 Jahren ist jedoch nach ärztlicher Aufklärung und bei individueller Risikoakzeptanz durch die impfwillige Person ebenfalls möglich.</w:t>
      </w:r>
    </w:p>
    <w:p w:rsidR="004E2F84" w:rsidRDefault="004E2F84" w:rsidP="004E2F84">
      <w:pPr>
        <w:pStyle w:val="LTAntwortRessortText"/>
      </w:pPr>
      <w:r>
        <w:t>Seit April 2021 empfiehlt die STIKO für unter 60-Jährige, die bereits eine Dosis Vaxzevria erhalten hatten, eine heterologe Impfserie. Inzwischen liegt eine klinische Evidenz zur Immunogenität dieses Impfschemas vor, die die getroffene Entscheidung nachträglich rechtfertigt: Mehrere Studien weisen darauf hin, dass die erzielte Immunantwort nach heterologem Impfschema deutlich stärker und vermutlich aufgrund der deutlich höheren Antikörperkonzentrationen auch dauerhafter ist als die Immunantwort nach einer homologen Impfserie mit Vaxzevria. Daraufhin hat die STIKO ihre Empfehlung geändert und empfiehlt die heterologe Impfung jetzt für alle Personen entsprechend der Impfstoffzulassung unabhängig vom Alter. Die 2. Impfstoffdosis mit einem mRNA-Impfstoff wird in einem Impfabstand ab 4 Wochen zur vorangegangenen Impfung mit Vaxzevria empfohlen, um möglichst rasch einen vollständigen Impfschutz zu erlangen.</w:t>
      </w:r>
    </w:p>
    <w:p w:rsidR="004E2F84" w:rsidRDefault="004E2F84" w:rsidP="004E2F84">
      <w:pPr>
        <w:pStyle w:val="LTAntwortRessortText"/>
      </w:pPr>
      <w:r>
        <w:t>Die Staatsregierung hat diese Empfehlung umgesetzt: Jeder volljährigen impfwilligen Person, die sich im Juli und August 2021 mit Vaxzevria erstmalig impfen lässt, wird zur Vervollständigung der Impfserie i</w:t>
      </w:r>
      <w:r w:rsidR="00FB2E54">
        <w:t>n einem Abstand von mindestens vier</w:t>
      </w:r>
      <w:r>
        <w:t xml:space="preserve"> Wochen eine Zweitimpfung mit einem mRNA-Impfstoff angeboten.</w:t>
      </w:r>
    </w:p>
    <w:p w:rsidR="004E2F84" w:rsidRDefault="004E2F84">
      <w:bookmarkStart w:id="140" w:name="Frage_Nr_69_Ende"/>
      <w:bookmarkEnd w:id="14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327A9" w:rsidTr="007327A9">
        <w:tc>
          <w:tcPr>
            <w:tcW w:w="1852" w:type="dxa"/>
          </w:tcPr>
          <w:p w:rsidR="007327A9" w:rsidRDefault="007327A9" w:rsidP="007327A9">
            <w:pPr>
              <w:pStyle w:val="LTAnfrageInitiator"/>
            </w:pPr>
            <w:r>
              <w:lastRenderedPageBreak/>
              <w:t>Abgeordneter</w:t>
            </w:r>
            <w:r>
              <w:rPr>
                <w:b/>
              </w:rPr>
              <w:br/>
              <w:t>Dr. Dominik</w:t>
            </w:r>
            <w:r>
              <w:rPr>
                <w:b/>
              </w:rPr>
              <w:br/>
              <w:t>Spitzer</w:t>
            </w:r>
            <w:r>
              <w:rPr>
                <w:b/>
              </w:rPr>
              <w:br/>
            </w:r>
            <w:r>
              <w:t>(FDP)</w:t>
            </w:r>
            <w:bookmarkStart w:id="141" w:name="Frage_Nr_70"/>
            <w:bookmarkEnd w:id="141"/>
          </w:p>
        </w:tc>
        <w:tc>
          <w:tcPr>
            <w:tcW w:w="5764" w:type="dxa"/>
          </w:tcPr>
          <w:p w:rsidR="007327A9" w:rsidRPr="00C84F2D" w:rsidRDefault="007327A9" w:rsidP="00C84F2D">
            <w:pPr>
              <w:pStyle w:val="LTAnfrageText"/>
            </w:pPr>
            <w:r w:rsidRPr="00C84F2D">
              <w:t>Bezugnehmend auf die öffentliche Diskussion um die Impfbereitschaft frage ich die Staatsregierung, welche Kenntnisse sie zu abgesagten und nicht wahrgenommenen Impfterminen in den Impfzentren und bei den niedergelassenen Ärzten in Bayern hat (wenn möglich bitte aufgeschlüsselt nach Regierungsbezirk für die vergangenen 8 Kalenderwochen), welche Maßnahmen sie ergreifen will, um die Impfbereitschaft in Bayern zu gewährleisten und zu unterstützen, damit jeder Impfwillige eine Impfung schnellstmöglich erhalten kann, und unter welchen Bedingungen, bei zunehmender Durchimpfung, sie eine vollständige Rückkehr zur Normalität plant?</w:t>
            </w:r>
          </w:p>
        </w:tc>
        <w:tc>
          <w:tcPr>
            <w:tcW w:w="5764" w:type="dxa"/>
          </w:tcPr>
          <w:p w:rsidR="007327A9" w:rsidRDefault="007327A9" w:rsidP="007327A9">
            <w:pPr>
              <w:pStyle w:val="LTAnfrageText"/>
            </w:pPr>
          </w:p>
        </w:tc>
      </w:tr>
    </w:tbl>
    <w:p w:rsidR="004E2F84" w:rsidRDefault="004E2F84" w:rsidP="004E2F84">
      <w:pPr>
        <w:pStyle w:val="LTUeberschrAntwortRessort"/>
      </w:pPr>
      <w:r>
        <w:t>Antwort des Staatsministeriums für Gesundheit und Pflege</w:t>
      </w:r>
    </w:p>
    <w:p w:rsidR="004E2F84" w:rsidRDefault="004E2F84" w:rsidP="004E2F84">
      <w:pPr>
        <w:pStyle w:val="LTAntwortRessortText"/>
      </w:pPr>
      <w:r>
        <w:t>Detaillierte Daten zu abgesagten und nicht wahrgenommenen Impfterminen in den bayerischen Impfzentren liegen dem St</w:t>
      </w:r>
      <w:r w:rsidR="00B66E23">
        <w:t>aatsministerium für Gesundheit und Pflege (St</w:t>
      </w:r>
      <w:r>
        <w:t>MGP</w:t>
      </w:r>
      <w:r w:rsidR="00B66E23">
        <w:t>)</w:t>
      </w:r>
      <w:r>
        <w:t xml:space="preserve"> nicht vor. Dem StMGP ist aber allgemein bekannt, dass es nicht nur vereinzelt zur Nichtwahrnehmung insbesondere vereinbarter Zweittermine für Schutzimpfungen kommt. In der Kürze der für eine Beantwortung einer Anfrage zum Plenum zur Verfügung stehenden Zeit wurde von einer Abfrage der 100 Impfzentren abgesehen.</w:t>
      </w:r>
    </w:p>
    <w:p w:rsidR="004E2F84" w:rsidRDefault="004E2F84" w:rsidP="004E2F84">
      <w:pPr>
        <w:pStyle w:val="LTAntwortRessortText"/>
      </w:pPr>
      <w:r>
        <w:t xml:space="preserve">Das StMGP hat am 29.06.2021 die Impfkampagne </w:t>
      </w:r>
      <w:r w:rsidR="003F1661">
        <w:t>„</w:t>
      </w:r>
      <w:r>
        <w:t>Ich tu's für...</w:t>
      </w:r>
      <w:r w:rsidR="003F1661">
        <w:t>“</w:t>
      </w:r>
      <w:r>
        <w:t xml:space="preserve"> gestartet, um die Impfbereitschaft der Unentschlossenen zu steigern. An der Kampagne beteiligen sich auch Prominente, die gezielt für eine Schutzimpfung gegen das Coronavirus </w:t>
      </w:r>
      <w:r w:rsidR="003F1661">
        <w:t>SARS</w:t>
      </w:r>
      <w:r>
        <w:t xml:space="preserve">-CoV-2 werben. Mit der vollständigen Aufhebung der Priorisierung und der Erweiterung der Impfangebote in der Breite (durch Privat- und Betriebsärzte, niedergelassene Ärzte und weitere Kooperationspartner) können alle impfwilligen Personen nunmehr niedrigschwellig rasch eine Schutzimpfung erhalten. Die Aufhebung von </w:t>
      </w:r>
      <w:r w:rsidR="003F1661">
        <w:t>COVID</w:t>
      </w:r>
      <w:r>
        <w:t>-19-Schutzmaßnahmen hängt von vielen Faktoren und Entwicklungen ab (v.</w:t>
      </w:r>
      <w:r w:rsidR="00B66E23">
        <w:t> </w:t>
      </w:r>
      <w:r>
        <w:t>a. Ausbreitung der Delta-Variante, Impfstoffversorgung und -fortschritt, nationale und internationale Entwicklungen), die sich zum jetzigen Zeitpunkt noch nicht absehen lassen. Deswegen kann eine Aussage zu Art und Umfang künftiger Lockerungen nicht mit hinreichender Sicherheit getroffen werden.</w:t>
      </w:r>
    </w:p>
    <w:p w:rsidR="004E2F84" w:rsidRDefault="004E2F84">
      <w:bookmarkStart w:id="142" w:name="Frage_Nr_70_Ende"/>
      <w:bookmarkEnd w:id="142"/>
      <w:r>
        <w:br w:type="page"/>
      </w:r>
    </w:p>
    <w:p w:rsidR="004E2F84" w:rsidRDefault="004E2F84" w:rsidP="004E2F84">
      <w:pPr>
        <w:pStyle w:val="LTUeberschrRessort"/>
      </w:pPr>
      <w:r>
        <w:lastRenderedPageBreak/>
        <w:t>Geschäftsbereich des Staatsministeriums für Digitales</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7327A9" w:rsidTr="007327A9">
        <w:tc>
          <w:tcPr>
            <w:tcW w:w="1852" w:type="dxa"/>
          </w:tcPr>
          <w:p w:rsidR="007327A9" w:rsidRDefault="007327A9" w:rsidP="007327A9">
            <w:pPr>
              <w:pStyle w:val="LTAnfrageInitiator"/>
            </w:pPr>
            <w:r>
              <w:t>Abgeordneter</w:t>
            </w:r>
            <w:r>
              <w:rPr>
                <w:b/>
              </w:rPr>
              <w:br/>
              <w:t>Dr. Helmut</w:t>
            </w:r>
            <w:r>
              <w:rPr>
                <w:b/>
              </w:rPr>
              <w:br/>
              <w:t>Kaltenhauser</w:t>
            </w:r>
            <w:r>
              <w:rPr>
                <w:b/>
              </w:rPr>
              <w:br/>
            </w:r>
            <w:r>
              <w:t>(FDP)</w:t>
            </w:r>
            <w:bookmarkStart w:id="143" w:name="Frage_Nr_71"/>
            <w:bookmarkEnd w:id="143"/>
          </w:p>
        </w:tc>
        <w:tc>
          <w:tcPr>
            <w:tcW w:w="5764" w:type="dxa"/>
          </w:tcPr>
          <w:p w:rsidR="007327A9" w:rsidRPr="00C84F2D" w:rsidRDefault="007327A9" w:rsidP="00C84F2D">
            <w:pPr>
              <w:pStyle w:val="LTAnfrageText"/>
            </w:pPr>
            <w:r w:rsidRPr="00C84F2D">
              <w:t>Ich frage die Staatsregierung, welche formale Ausbildung haben die einzelnen Mitarbeiter im Staatsministerium für Digitales</w:t>
            </w:r>
            <w:r w:rsidR="00B66E23">
              <w:t xml:space="preserve"> – StMD</w:t>
            </w:r>
            <w:r w:rsidRPr="00C84F2D">
              <w:t xml:space="preserve"> (bitte aufgeschlüsselt nach Abschluss und Fachrichtung, wie z. B. Juristen oder MINT-Absolvent</w:t>
            </w:r>
            <w:r w:rsidR="00351B35">
              <w:t>en – MINT = Mathemat</w:t>
            </w:r>
            <w:r w:rsidRPr="00C84F2D">
              <w:t>ik, Informatik, Naturwissenschaften und Technik), welche beruflichen Erfahrungen haben sie im Bereich der Digitalisierung (insbesondere in Behörden sowie in der freien Wirtschaft) und welche Fachkenntnisse werden bei der Beschäftigung externer Berater hauptsächlich zugekauft? </w:t>
            </w:r>
          </w:p>
        </w:tc>
        <w:tc>
          <w:tcPr>
            <w:tcW w:w="5764" w:type="dxa"/>
          </w:tcPr>
          <w:p w:rsidR="007327A9" w:rsidRDefault="007327A9" w:rsidP="007327A9">
            <w:pPr>
              <w:pStyle w:val="LTAnfrageText"/>
            </w:pPr>
          </w:p>
        </w:tc>
      </w:tr>
    </w:tbl>
    <w:p w:rsidR="004E2F84" w:rsidRDefault="004E2F84" w:rsidP="004E2F84">
      <w:pPr>
        <w:pStyle w:val="LTUeberschrAntwortRessort"/>
      </w:pPr>
      <w:r>
        <w:t>Antwort des Staatsministeriums für Digitales</w:t>
      </w:r>
    </w:p>
    <w:p w:rsidR="004E2F84" w:rsidRDefault="004E2F84" w:rsidP="004E2F84">
      <w:pPr>
        <w:pStyle w:val="LTAntwortRessortText"/>
      </w:pPr>
      <w:r>
        <w:t xml:space="preserve">1. Formale Ausbildung </w:t>
      </w:r>
      <w:r w:rsidR="00B66E23">
        <w:t>der Mitarbeiter im St</w:t>
      </w:r>
      <w:r>
        <w:t>MD</w:t>
      </w:r>
    </w:p>
    <w:p w:rsidR="004E2F84" w:rsidRDefault="004E2F84" w:rsidP="004E2F84">
      <w:pPr>
        <w:pStyle w:val="LTAntwortRessortText"/>
      </w:pPr>
      <w:r>
        <w:t xml:space="preserve">Das Team des </w:t>
      </w:r>
      <w:r w:rsidR="00771F87">
        <w:t>StMD</w:t>
      </w:r>
      <w:r>
        <w:t xml:space="preserve"> zeichnet sich durch </w:t>
      </w:r>
      <w:r w:rsidR="00BC55FA">
        <w:t>eine große Band</w:t>
      </w:r>
      <w:r>
        <w:t xml:space="preserve">breite der vertretenen Ausbildungsrichtungen und Berufsabschlüsse aus. Der Anteil der Juristinnen und Juristen (Zweite Juristische Staatsprüfung) beträgt ca. 25 </w:t>
      </w:r>
      <w:r w:rsidR="003F1661">
        <w:t>Prozent</w:t>
      </w:r>
      <w:r>
        <w:t xml:space="preserve">. Ca. 20 </w:t>
      </w:r>
      <w:r w:rsidR="003F1661">
        <w:t>Prozent</w:t>
      </w:r>
      <w:r>
        <w:t xml:space="preserve"> der Beschäfti</w:t>
      </w:r>
      <w:r w:rsidR="00BC55FA">
        <w:t xml:space="preserve">gten des </w:t>
      </w:r>
      <w:r w:rsidR="00771F87">
        <w:t>StMD</w:t>
      </w:r>
      <w:r w:rsidR="00BC55FA">
        <w:t xml:space="preserve"> ha</w:t>
      </w:r>
      <w:r>
        <w:t xml:space="preserve">ben einen wirtschaftswissenschaftlichen Abschluss, der entweder an einer Universität oder an einer Fachhochschule erworben wurde. Ungefähr 10 </w:t>
      </w:r>
      <w:r w:rsidR="003F1661">
        <w:t>Prozent</w:t>
      </w:r>
      <w:r>
        <w:t xml:space="preserve"> der Mitarbeiterinnen und Mitarbeiter haben einen IT-Abschluss erworben (Studium an Universität/Fachhochschule oder Berufsausbildung). Ca. 5 </w:t>
      </w:r>
      <w:r w:rsidR="003F1661">
        <w:t>Prozent</w:t>
      </w:r>
      <w:r>
        <w:t xml:space="preserve"> der Beschäftigten haben einen ingenieurwissenschaftlichen Abschluss an einer Universität oder Fachhochschule erworben. Darüber hinaus finden sich Abschlüsse in Physik, Mathematik, Geschichts-, </w:t>
      </w:r>
      <w:r w:rsidR="00B66E23">
        <w:br/>
      </w:r>
      <w:r>
        <w:t>Sprach-, Politik- und Kulturwissenschaften. Außerdem verfügen mehrere Mitarbeiterinnen und Mitarbeiter über Abschlüsse in einem</w:t>
      </w:r>
      <w:r w:rsidR="00BC55FA">
        <w:t xml:space="preserve"> dualen Studiengang an der Hoch</w:t>
      </w:r>
      <w:r>
        <w:t>schule für den öffentlich</w:t>
      </w:r>
      <w:r w:rsidR="00BC55FA">
        <w:t>en</w:t>
      </w:r>
      <w:r>
        <w:t xml:space="preserve"> Dienst in Bayern</w:t>
      </w:r>
      <w:r w:rsidR="00BC55FA">
        <w:t xml:space="preserve"> oder haben einen Ausbildungsbe</w:t>
      </w:r>
      <w:r>
        <w:t>ruf in der öffentlichen Verwaltung erlernt.</w:t>
      </w:r>
    </w:p>
    <w:p w:rsidR="004E2F84" w:rsidRDefault="004E2F84" w:rsidP="004E2F84">
      <w:pPr>
        <w:pStyle w:val="LTAntwortRessortText"/>
      </w:pPr>
      <w:r>
        <w:t>2. Berufliche Erfahrungen der Mitarbeiter im StMD</w:t>
      </w:r>
    </w:p>
    <w:p w:rsidR="004E2F84" w:rsidRDefault="004E2F84" w:rsidP="004E2F84">
      <w:pPr>
        <w:pStyle w:val="LTAntwortRessortText"/>
      </w:pPr>
      <w:r>
        <w:t>Wie auch bei der Frage nach der formalen Qualifikation ist hinsichtlich der Berufserfahrung im Bereich der Digitalisierung keine einheitliche Antwort möglich. Auch hier gestaltet sich das Bild vielfältig. Neben</w:t>
      </w:r>
      <w:r w:rsidR="00BC55FA">
        <w:t xml:space="preserve"> den Beschäftig</w:t>
      </w:r>
      <w:r>
        <w:t xml:space="preserve">ten, für die das </w:t>
      </w:r>
      <w:r w:rsidR="00771F87">
        <w:t>StMD</w:t>
      </w:r>
      <w:r>
        <w:t xml:space="preserve"> nach erfolgreichem Berufsabschluss die erste Karrierestation darstellt, konnten auch</w:t>
      </w:r>
      <w:r w:rsidR="00BC55FA">
        <w:t xml:space="preserve"> Beschäftigte mit vorheriger Be</w:t>
      </w:r>
      <w:r>
        <w:t>rufserfahrung eingestellt werden. Nach de</w:t>
      </w:r>
      <w:r w:rsidR="00BC55FA">
        <w:t xml:space="preserve">r Gründung des </w:t>
      </w:r>
      <w:r w:rsidR="00B66E23">
        <w:t>StMD wechselten u. </w:t>
      </w:r>
      <w:r>
        <w:t>a. Beschäftigte mit einschlägiger Berufserfahrung aus dem Staatsministerium der Finanzen und für Heimat, dem Landesamt für Digitalisierung, Breitband und Vermessung, dem Landesamt für Finanzen, dem Landesa</w:t>
      </w:r>
      <w:r w:rsidR="00771F87">
        <w:t xml:space="preserve">mt für Steuern oder dem Zentrum </w:t>
      </w:r>
      <w:r>
        <w:t>Digitalisierung</w:t>
      </w:r>
      <w:r w:rsidR="00771F87">
        <w:t>.</w:t>
      </w:r>
      <w:r w:rsidR="00BC55FA">
        <w:t>Bayern (Ge</w:t>
      </w:r>
      <w:r>
        <w:t>schäftsbereich des St</w:t>
      </w:r>
      <w:r w:rsidR="00B66E23">
        <w:t>aatsministeriums für Wirtschaft, Landesentwicklung und Wirtschaft – St</w:t>
      </w:r>
      <w:r>
        <w:t xml:space="preserve">MWi) an das </w:t>
      </w:r>
      <w:r w:rsidR="00B66E23">
        <w:t>StMD</w:t>
      </w:r>
      <w:r>
        <w:t>. Bei der Suche nach Beschäftigten außerhalb der öffentlichen Verwaltung spielt bei der Frage nach Berufserfahrung insbesondere eine Rolle, ob die Bewerberinnen und Bewerber Erfahrungen im Bereich d</w:t>
      </w:r>
      <w:r w:rsidR="00BC55FA">
        <w:t>es Projektmanagements und im Be</w:t>
      </w:r>
      <w:r>
        <w:t>reich agiler Arbeitsmethoden (</w:t>
      </w:r>
      <w:r w:rsidR="003F1661">
        <w:t>z. B.</w:t>
      </w:r>
      <w:r>
        <w:t xml:space="preserve"> Scru</w:t>
      </w:r>
      <w:r w:rsidR="00BC55FA">
        <w:t>m oder Design Thinking) mitbrin</w:t>
      </w:r>
      <w:r>
        <w:t>gen.</w:t>
      </w:r>
    </w:p>
    <w:p w:rsidR="004E2F84" w:rsidRDefault="004E2F84" w:rsidP="004E2F84">
      <w:pPr>
        <w:pStyle w:val="LTAntwortRessortText"/>
      </w:pPr>
      <w:r>
        <w:t>3. Fachkenntnisse externer Berater</w:t>
      </w:r>
    </w:p>
    <w:p w:rsidR="004E2F84" w:rsidRDefault="004E2F84" w:rsidP="00B66E23">
      <w:pPr>
        <w:pStyle w:val="LTAntwortRessortText"/>
      </w:pPr>
      <w:r>
        <w:t>Soweit externe Berater beauftragt wurden, handelt es sich hauptsächlich um Berater mit IT-Kenntnissen sowie K</w:t>
      </w:r>
      <w:r w:rsidR="00BC55FA">
        <w:t>enntnissen im Bereich Projektma</w:t>
      </w:r>
      <w:r>
        <w:t>nagement.</w:t>
      </w:r>
      <w:bookmarkStart w:id="144" w:name="Frage_Nr_71_Ende"/>
      <w:bookmarkEnd w:id="14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7327A9" w:rsidTr="007327A9">
        <w:tc>
          <w:tcPr>
            <w:tcW w:w="1840" w:type="dxa"/>
          </w:tcPr>
          <w:p w:rsidR="007327A9" w:rsidRDefault="007327A9" w:rsidP="007327A9">
            <w:pPr>
              <w:pStyle w:val="LTAnfrageInitiator"/>
            </w:pPr>
            <w:r>
              <w:lastRenderedPageBreak/>
              <w:t>Abgeordneter</w:t>
            </w:r>
            <w:r>
              <w:rPr>
                <w:b/>
              </w:rPr>
              <w:br/>
              <w:t>Gerd</w:t>
            </w:r>
            <w:r>
              <w:rPr>
                <w:b/>
              </w:rPr>
              <w:br/>
              <w:t>Mannes</w:t>
            </w:r>
            <w:r>
              <w:rPr>
                <w:b/>
              </w:rPr>
              <w:br/>
            </w:r>
            <w:r>
              <w:t>(AfD)</w:t>
            </w:r>
            <w:bookmarkStart w:id="145" w:name="Frage_Nr_72"/>
            <w:bookmarkEnd w:id="145"/>
          </w:p>
        </w:tc>
        <w:tc>
          <w:tcPr>
            <w:tcW w:w="5776" w:type="dxa"/>
          </w:tcPr>
          <w:p w:rsidR="007327A9" w:rsidRPr="00C84F2D" w:rsidRDefault="007327A9" w:rsidP="00C84F2D">
            <w:pPr>
              <w:pStyle w:val="LTAnfrageText"/>
            </w:pPr>
            <w:r w:rsidRPr="00C84F2D">
              <w:t>Ich frage die Staatsregierung, wie viel finanzielle Mittel wurden seit der Gründung des Staatsministeriums für Digitales (StMD) bis zum Zeitpunkt der Beantwortung dieser Anfrage für das Programm Bayern Digital ausgegeben, wie viel finanzielle Mittel wurden seit der Gründung des StMD bis zum Zeitpunkt der Beantwortung dieser Anfrage für die Hightech Agenda Bayern ausgegeben und wie viel finanzielle Mittel wurden seit der Gründung des StMD bis zum Zeitpunkt der Beantwortung dieser Anfrage für die Hightech Agenda Plus ausgegeben?</w:t>
            </w:r>
          </w:p>
        </w:tc>
        <w:tc>
          <w:tcPr>
            <w:tcW w:w="5776" w:type="dxa"/>
          </w:tcPr>
          <w:p w:rsidR="007327A9" w:rsidRDefault="007327A9" w:rsidP="007327A9">
            <w:pPr>
              <w:pStyle w:val="LTAnfrageText"/>
            </w:pPr>
          </w:p>
        </w:tc>
      </w:tr>
    </w:tbl>
    <w:p w:rsidR="004E2F84" w:rsidRDefault="004E2F84" w:rsidP="004E2F84">
      <w:pPr>
        <w:pStyle w:val="LTUeberschrAntwortRessort"/>
      </w:pPr>
      <w:r>
        <w:t>Antwort des Staatsministeriums für Digitales</w:t>
      </w:r>
      <w:r w:rsidR="00D03755">
        <w:t xml:space="preserve"> in Abstimmung mit dem Staatsministerium für Wissenschaft und Kunst, dem Staatsministerium für Wirtschaft, Landesentwicklung und Energie sowie dem Staatsministerium für Unterricht und Kultus </w:t>
      </w:r>
    </w:p>
    <w:p w:rsidR="004E2F84" w:rsidRDefault="004E2F84" w:rsidP="004E2F84">
      <w:pPr>
        <w:pStyle w:val="LTAntwortRessortText"/>
      </w:pPr>
      <w:r>
        <w:t xml:space="preserve">Bezüglich der Ausgaben der Staatsregierung zu BayernDigital wird auf die Antwort der Staatsregierung in der </w:t>
      </w:r>
      <w:r w:rsidR="0018266A">
        <w:t>Drs.</w:t>
      </w:r>
      <w:r>
        <w:t xml:space="preserve"> 18/15037</w:t>
      </w:r>
      <w:r w:rsidR="00D03755">
        <w:rPr>
          <w:rStyle w:val="Funotenzeichen"/>
        </w:rPr>
        <w:footnoteReference w:id="7"/>
      </w:r>
      <w:r>
        <w:t xml:space="preserve"> vom 23.04.2021 und hier insbesondere auf die Anlage, Tabelle zu Fragen 1 und 2 a, 2 b verwiesen, da eine Aktualisierung </w:t>
      </w:r>
      <w:r w:rsidR="00BC55FA">
        <w:t>in der für eine Anfrage zum Ple</w:t>
      </w:r>
      <w:r>
        <w:t>num zur Verfügung stehenden Zeit nicht leistbar ist.</w:t>
      </w:r>
    </w:p>
    <w:p w:rsidR="004E2F84" w:rsidRDefault="004E2F84" w:rsidP="004E2F84">
      <w:pPr>
        <w:pStyle w:val="LTAntwortRessortText"/>
      </w:pPr>
      <w:r>
        <w:t>Bis zum 30.06.2021 wurden im Bereich des Staatsm</w:t>
      </w:r>
      <w:r w:rsidR="00BC55FA">
        <w:t>inisteriums für Wissen</w:t>
      </w:r>
      <w:r>
        <w:t xml:space="preserve">schaft und Kunst </w:t>
      </w:r>
      <w:r w:rsidR="0018266A">
        <w:t xml:space="preserve">(StMWK) </w:t>
      </w:r>
      <w:r>
        <w:t xml:space="preserve">rund 47,7 Mio. </w:t>
      </w:r>
      <w:r w:rsidR="003F1661">
        <w:t>Euro</w:t>
      </w:r>
      <w:r>
        <w:t xml:space="preserve">, im Bereich des Staatsministeriums für Wirtschaft, Landesentwicklung und Energie rund 60,2 Mio. </w:t>
      </w:r>
      <w:r w:rsidR="003F1661">
        <w:t>Euro</w:t>
      </w:r>
      <w:r w:rsidR="00BC55FA">
        <w:t xml:space="preserve"> und im Be</w:t>
      </w:r>
      <w:r>
        <w:t xml:space="preserve">reich des </w:t>
      </w:r>
      <w:r w:rsidR="0018266A">
        <w:t>StMD</w:t>
      </w:r>
      <w:r>
        <w:t xml:space="preserve"> rund 3,7 Mio. </w:t>
      </w:r>
      <w:r w:rsidR="003F1661">
        <w:t>Euro</w:t>
      </w:r>
      <w:r>
        <w:t xml:space="preserve"> für die </w:t>
      </w:r>
      <w:r w:rsidR="003F1661">
        <w:t>„</w:t>
      </w:r>
      <w:r>
        <w:t>Hightech Agenda Bayern</w:t>
      </w:r>
      <w:r w:rsidR="003F1661">
        <w:t>“</w:t>
      </w:r>
      <w:r>
        <w:t xml:space="preserve"> einschließlich der </w:t>
      </w:r>
      <w:r w:rsidR="003F1661">
        <w:t>„</w:t>
      </w:r>
      <w:r>
        <w:t>Hightech Agenda Bayern Plus</w:t>
      </w:r>
      <w:r w:rsidR="003F1661">
        <w:t>“</w:t>
      </w:r>
      <w:r w:rsidR="00BC55FA">
        <w:t xml:space="preserve"> ausge</w:t>
      </w:r>
      <w:r>
        <w:t>geben.</w:t>
      </w:r>
      <w:r w:rsidR="00D03755">
        <w:t xml:space="preserve"> </w:t>
      </w:r>
      <w:r>
        <w:t xml:space="preserve">Eine Aufteilung nach </w:t>
      </w:r>
      <w:r w:rsidR="003F1661">
        <w:t>„</w:t>
      </w:r>
      <w:r>
        <w:t>Hightech Agenda Bayern</w:t>
      </w:r>
      <w:r w:rsidR="003F1661">
        <w:t>“</w:t>
      </w:r>
      <w:r>
        <w:t xml:space="preserve"> und </w:t>
      </w:r>
      <w:r w:rsidR="003F1661">
        <w:t>„</w:t>
      </w:r>
      <w:r>
        <w:t>Hightech Agenda Bayern Plus</w:t>
      </w:r>
      <w:r w:rsidR="003F1661">
        <w:t>“</w:t>
      </w:r>
      <w:r>
        <w:t xml:space="preserve"> ist nicht möglich, da es sich bei wesentlichen Teilen der </w:t>
      </w:r>
      <w:r w:rsidR="003F1661">
        <w:t>„</w:t>
      </w:r>
      <w:r>
        <w:t>Hightech Agenda Bayern Plus</w:t>
      </w:r>
      <w:r w:rsidR="003F1661">
        <w:t>“</w:t>
      </w:r>
      <w:r>
        <w:t xml:space="preserve"> (insbeson</w:t>
      </w:r>
      <w:r w:rsidR="00BC55FA">
        <w:t xml:space="preserve">dere im Bereich des </w:t>
      </w:r>
      <w:r w:rsidR="0018266A">
        <w:t>StMWK</w:t>
      </w:r>
      <w:r>
        <w:t>) um</w:t>
      </w:r>
      <w:r w:rsidR="00BC55FA">
        <w:t xml:space="preserve"> eine Ausweitung und Beschleuni</w:t>
      </w:r>
      <w:r>
        <w:t xml:space="preserve">gung von Maßnahmen der </w:t>
      </w:r>
      <w:r w:rsidR="003F1661">
        <w:t>„</w:t>
      </w:r>
      <w:r>
        <w:t>Hightech Agenda Bayern</w:t>
      </w:r>
      <w:r w:rsidR="003F1661">
        <w:t>“</w:t>
      </w:r>
      <w:r>
        <w:t xml:space="preserve"> handelt, für die die Ausgaben ununterscheidbar bei denselben </w:t>
      </w:r>
      <w:r w:rsidR="0018266A">
        <w:br/>
      </w:r>
      <w:r>
        <w:t>Titeln nachgewiesen werden</w:t>
      </w:r>
      <w:r w:rsidR="003B62AE">
        <w:t>.</w:t>
      </w:r>
    </w:p>
    <w:p w:rsidR="004E2F84" w:rsidRDefault="004E2F84" w:rsidP="004E2F84">
      <w:pPr>
        <w:pStyle w:val="LTAntwortRessortText"/>
      </w:pPr>
      <w:bookmarkStart w:id="146" w:name="Frage_Nr_72_Ende"/>
      <w:bookmarkEnd w:id="146"/>
    </w:p>
    <w:sectPr w:rsidR="004E2F84" w:rsidSect="00F00864">
      <w:headerReference w:type="even" r:id="rId24"/>
      <w:headerReference w:type="default" r:id="rId25"/>
      <w:footerReference w:type="default" r:id="rId26"/>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C7" w:rsidRDefault="004F5FC7">
      <w:r>
        <w:separator/>
      </w:r>
    </w:p>
  </w:endnote>
  <w:endnote w:type="continuationSeparator" w:id="0">
    <w:p w:rsidR="004F5FC7" w:rsidRDefault="004F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Default="004F5FC7"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Pr="009C32BE" w:rsidRDefault="004F5FC7"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Pr="00311533" w:rsidRDefault="004F5FC7"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C7" w:rsidRDefault="004F5FC7">
      <w:r>
        <w:separator/>
      </w:r>
    </w:p>
  </w:footnote>
  <w:footnote w:type="continuationSeparator" w:id="0">
    <w:p w:rsidR="004F5FC7" w:rsidRDefault="004F5FC7">
      <w:r>
        <w:continuationSeparator/>
      </w:r>
    </w:p>
  </w:footnote>
  <w:footnote w:id="1">
    <w:p w:rsidR="004F5FC7" w:rsidRDefault="004F5FC7" w:rsidP="009D3FE7">
      <w:pPr>
        <w:pStyle w:val="Funotentext"/>
      </w:pPr>
      <w:r>
        <w:rPr>
          <w:rStyle w:val="Funotenzeichen"/>
        </w:rPr>
        <w:footnoteRef/>
      </w:r>
      <w:r>
        <w:tab/>
      </w:r>
      <w:hyperlink r:id="rId1" w:history="1">
        <w:r w:rsidRPr="00251350">
          <w:rPr>
            <w:rStyle w:val="LTHyperlinkZchn"/>
            <w:b w:val="0"/>
            <w:sz w:val="16"/>
          </w:rPr>
          <w:t>https://taz.de/Website-von-Abtreibungsgegner_innen/!5726128/</w:t>
        </w:r>
      </w:hyperlink>
      <w:r>
        <w:rPr>
          <w:sz w:val="16"/>
          <w:szCs w:val="24"/>
        </w:rPr>
        <w:t xml:space="preserve"> </w:t>
      </w:r>
    </w:p>
  </w:footnote>
  <w:footnote w:id="2">
    <w:p w:rsidR="004F5FC7" w:rsidRDefault="004F5FC7" w:rsidP="00C76085">
      <w:pPr>
        <w:pStyle w:val="Funotentext"/>
        <w:ind w:left="340" w:hanging="340"/>
      </w:pPr>
      <w:r w:rsidRPr="00125403">
        <w:rPr>
          <w:rStyle w:val="Funotenzeichen"/>
          <w:rFonts w:ascii="Arial" w:hAnsi="Arial" w:cs="Arial"/>
          <w:sz w:val="16"/>
          <w:szCs w:val="16"/>
        </w:rPr>
        <w:footnoteRef/>
      </w:r>
      <w:r w:rsidRPr="00125403">
        <w:rPr>
          <w:rFonts w:ascii="Arial" w:hAnsi="Arial" w:cs="Arial"/>
          <w:sz w:val="16"/>
          <w:szCs w:val="16"/>
        </w:rPr>
        <w:tab/>
      </w:r>
      <w:hyperlink r:id="rId2" w:history="1">
        <w:r w:rsidRPr="00C76085">
          <w:rPr>
            <w:rStyle w:val="LTHyperlinkZchn"/>
            <w:b w:val="0"/>
            <w:sz w:val="16"/>
          </w:rPr>
          <w:t>https://www.divi.de/divi-intensivregister-tagesreport-archiv/viewdocument/5805/divi-intensivregister-tagesreport-2021-07-04</w:t>
        </w:r>
      </w:hyperlink>
      <w:r w:rsidRPr="00C76085">
        <w:rPr>
          <w:rStyle w:val="LTHyperlinkZchn"/>
          <w:b w:val="0"/>
          <w:sz w:val="16"/>
        </w:rPr>
        <w:t xml:space="preserve">  </w:t>
      </w:r>
    </w:p>
  </w:footnote>
  <w:footnote w:id="3">
    <w:p w:rsidR="004F5FC7" w:rsidRPr="00C76085" w:rsidRDefault="004F5FC7" w:rsidP="00C76085">
      <w:pPr>
        <w:pStyle w:val="Funotentext"/>
        <w:ind w:left="340" w:hanging="340"/>
        <w:rPr>
          <w:rStyle w:val="LTHyperlinkZchn"/>
          <w:b w:val="0"/>
          <w:sz w:val="16"/>
        </w:rPr>
      </w:pPr>
      <w:r w:rsidRPr="00125403">
        <w:rPr>
          <w:rStyle w:val="Funotenzeichen"/>
          <w:rFonts w:ascii="Arial" w:hAnsi="Arial" w:cs="Arial"/>
          <w:sz w:val="16"/>
          <w:szCs w:val="16"/>
        </w:rPr>
        <w:footnoteRef/>
      </w:r>
      <w:r w:rsidRPr="00125403">
        <w:rPr>
          <w:rFonts w:ascii="Arial" w:hAnsi="Arial" w:cs="Arial"/>
          <w:sz w:val="16"/>
          <w:szCs w:val="16"/>
        </w:rPr>
        <w:tab/>
      </w:r>
      <w:hyperlink r:id="rId3" w:history="1">
        <w:r w:rsidRPr="00C76085">
          <w:rPr>
            <w:rStyle w:val="LTHyperlinkZchn"/>
            <w:b w:val="0"/>
            <w:sz w:val="16"/>
          </w:rPr>
          <w:t>https://www.rki.de/DE/Content/InfAZ/N/Neuartiges_Coronavirus/Situationsberichte/Jun_2021/2021-06-29-de.pdf?__blob=publicationFile</w:t>
        </w:r>
      </w:hyperlink>
      <w:r w:rsidRPr="00C76085">
        <w:rPr>
          <w:rStyle w:val="LTHyperlinkZchn"/>
          <w:b w:val="0"/>
          <w:sz w:val="16"/>
        </w:rPr>
        <w:t xml:space="preserve"> </w:t>
      </w:r>
    </w:p>
  </w:footnote>
  <w:footnote w:id="4">
    <w:p w:rsidR="004F5FC7" w:rsidRPr="00C76085" w:rsidRDefault="004F5FC7" w:rsidP="00C76085">
      <w:pPr>
        <w:pStyle w:val="Funotentext"/>
        <w:rPr>
          <w:rStyle w:val="Hyperlink"/>
          <w:rFonts w:cs="Arial"/>
          <w:sz w:val="16"/>
          <w:szCs w:val="16"/>
        </w:rPr>
      </w:pPr>
      <w:r>
        <w:rPr>
          <w:rStyle w:val="Funotenzeichen"/>
        </w:rPr>
        <w:footnoteRef/>
      </w:r>
      <w:r>
        <w:tab/>
      </w:r>
      <w:hyperlink r:id="rId4" w:history="1">
        <w:r w:rsidRPr="00C76085">
          <w:rPr>
            <w:rStyle w:val="LTHyperlinkZchn"/>
            <w:b w:val="0"/>
            <w:sz w:val="16"/>
          </w:rPr>
          <w:t>https://ourworldindata.org/covid-deaths</w:t>
        </w:r>
      </w:hyperlink>
      <w:r w:rsidRPr="00C76085">
        <w:rPr>
          <w:rStyle w:val="LTHyperlinkZchn"/>
          <w:sz w:val="16"/>
        </w:rPr>
        <w:t xml:space="preserve"> </w:t>
      </w:r>
    </w:p>
  </w:footnote>
  <w:footnote w:id="5">
    <w:p w:rsidR="004F5FC7" w:rsidRPr="00C76085" w:rsidRDefault="004F5FC7" w:rsidP="00C76085">
      <w:pPr>
        <w:pStyle w:val="Funotentext"/>
        <w:ind w:left="340" w:hanging="340"/>
        <w:rPr>
          <w:rStyle w:val="LTHyperlinkZchn"/>
          <w:b w:val="0"/>
          <w:sz w:val="16"/>
        </w:rPr>
      </w:pPr>
      <w:r>
        <w:rPr>
          <w:rStyle w:val="Funotenzeichen"/>
        </w:rPr>
        <w:footnoteRef/>
      </w:r>
      <w:r>
        <w:tab/>
      </w:r>
      <w:hyperlink r:id="rId5" w:history="1">
        <w:r w:rsidRPr="00C76085">
          <w:rPr>
            <w:rStyle w:val="LTHyperlinkZchn"/>
            <w:b w:val="0"/>
            <w:sz w:val="16"/>
          </w:rPr>
          <w:t>https://www.rki.de/DE/Content/InfAZ/N/Neuartiges_Coronavirus/Situationsberichte/Jun_2021/2021-06-29-de.pdf?__blob=publicationFile</w:t>
        </w:r>
      </w:hyperlink>
      <w:r w:rsidRPr="00C76085">
        <w:rPr>
          <w:rStyle w:val="LTHyperlinkZchn"/>
          <w:b w:val="0"/>
          <w:sz w:val="16"/>
        </w:rPr>
        <w:t xml:space="preserve"> </w:t>
      </w:r>
    </w:p>
  </w:footnote>
  <w:footnote w:id="6">
    <w:p w:rsidR="004F5FC7" w:rsidRPr="00C76085" w:rsidRDefault="004F5FC7" w:rsidP="00C76085">
      <w:pPr>
        <w:pStyle w:val="Funotentext"/>
        <w:rPr>
          <w:rStyle w:val="LTHyperlinkZchn"/>
          <w:b w:val="0"/>
          <w:sz w:val="16"/>
        </w:rPr>
      </w:pPr>
      <w:r>
        <w:rPr>
          <w:rStyle w:val="Funotenzeichen"/>
        </w:rPr>
        <w:footnoteRef/>
      </w:r>
      <w:r>
        <w:tab/>
      </w:r>
      <w:hyperlink r:id="rId6" w:history="1">
        <w:r w:rsidRPr="00C76085">
          <w:rPr>
            <w:rStyle w:val="LTHyperlinkZchn"/>
            <w:b w:val="0"/>
            <w:sz w:val="16"/>
          </w:rPr>
          <w:t>https://pace.coe.int/en/files/29004/html</w:t>
        </w:r>
      </w:hyperlink>
      <w:r w:rsidRPr="00C76085">
        <w:rPr>
          <w:rStyle w:val="LTHyperlinkZchn"/>
          <w:b w:val="0"/>
          <w:sz w:val="16"/>
        </w:rPr>
        <w:t xml:space="preserve"> </w:t>
      </w:r>
    </w:p>
  </w:footnote>
  <w:footnote w:id="7">
    <w:p w:rsidR="004F5FC7" w:rsidRDefault="004F5FC7" w:rsidP="00D03755">
      <w:pPr>
        <w:pStyle w:val="LTAntwortRessortText"/>
        <w:ind w:hanging="340"/>
      </w:pPr>
      <w:r>
        <w:rPr>
          <w:rStyle w:val="Funotenzeichen"/>
        </w:rPr>
        <w:footnoteRef/>
      </w:r>
      <w:r>
        <w:tab/>
      </w:r>
      <w:r w:rsidRPr="00D03755">
        <w:rPr>
          <w:sz w:val="16"/>
        </w:rPr>
        <w:t>Schriftliche Anfrage Drs. 18/15037 der Abgeordneten Annette Karl, SPD</w:t>
      </w:r>
      <w:r>
        <w:rPr>
          <w:sz w:val="16"/>
        </w:rPr>
        <w:t>-Fraktion</w:t>
      </w:r>
      <w:r w:rsidRPr="00D03755">
        <w:rPr>
          <w:sz w:val="16"/>
        </w:rPr>
        <w:t xml:space="preserve">, vom 28.01.2021: </w:t>
      </w:r>
      <w:r>
        <w:rPr>
          <w:sz w:val="16"/>
        </w:rPr>
        <w:br/>
      </w:r>
      <w:r w:rsidRPr="00D03755">
        <w:rPr>
          <w:sz w:val="16"/>
        </w:rPr>
        <w:t>Maßnahmen zur Digitalisierung in Bayern II (</w:t>
      </w:r>
      <w:hyperlink r:id="rId7" w:history="1">
        <w:r w:rsidRPr="00D03755">
          <w:rPr>
            <w:rStyle w:val="LTHyperlinkZchn"/>
            <w:b w:val="0"/>
            <w:sz w:val="16"/>
          </w:rPr>
          <w:t>https://www.landtag.de</w:t>
        </w:r>
      </w:hyperlink>
      <w:r w:rsidRPr="00D03755">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Default="004F5FC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E37EF0">
      <w:fldChar w:fldCharType="begin"/>
    </w:r>
    <w:r w:rsidR="00E37EF0">
      <w:instrText xml:space="preserve"> DOCVARIABLE  "Wp" </w:instrText>
    </w:r>
    <w:r w:rsidR="00E37EF0">
      <w:instrText xml:space="preserve">\* MERGEFORMAT </w:instrText>
    </w:r>
    <w:r w:rsidR="00E37EF0">
      <w:fldChar w:fldCharType="separate"/>
    </w:r>
    <w:r w:rsidR="00D618AA">
      <w:t>18</w:t>
    </w:r>
    <w:r w:rsidR="00E37EF0">
      <w:fldChar w:fldCharType="end"/>
    </w:r>
    <w:r w:rsidRPr="00CA6785">
      <w:t>/</w:t>
    </w:r>
    <w:r>
      <w:rPr>
        <w:b/>
      </w:rPr>
      <w:fldChar w:fldCharType="begin"/>
    </w:r>
    <w:r>
      <w:rPr>
        <w:b/>
      </w:rPr>
      <w:instrText xml:space="preserve"> DOCVARIABLE  "Drsnr" \* MERGEFORMAT </w:instrText>
    </w:r>
    <w:r>
      <w:rPr>
        <w:b/>
      </w:rPr>
      <w:fldChar w:fldCharType="separate"/>
    </w:r>
    <w:r w:rsidR="00D618AA">
      <w:rPr>
        <w:b/>
      </w:rPr>
      <w:t>17121</w:t>
    </w:r>
    <w:r>
      <w:rPr>
        <w:b/>
      </w:rPr>
      <w:fldChar w:fldCharType="end"/>
    </w:r>
    <w:r>
      <w:tab/>
    </w:r>
    <w:r>
      <w:tab/>
    </w:r>
    <w:r w:rsidRPr="009A2D8C">
      <w:t>Bayerischer Landtag</w:t>
    </w:r>
    <w:r>
      <w:t xml:space="preserve"> -</w:t>
    </w:r>
    <w:r w:rsidR="00E37EF0">
      <w:fldChar w:fldCharType="begin"/>
    </w:r>
    <w:r w:rsidR="00E37EF0">
      <w:instrText xml:space="preserve"> DOCVARIABLE  "Wp" \* MERGEFORMAT </w:instrText>
    </w:r>
    <w:r w:rsidR="00E37EF0">
      <w:fldChar w:fldCharType="separate"/>
    </w:r>
    <w:r w:rsidR="00D618AA">
      <w:t>18</w:t>
    </w:r>
    <w:r w:rsidR="00E37EF0">
      <w:fldChar w:fldCharType="end"/>
    </w:r>
    <w:r>
      <w:t>. Wahlperiode</w:t>
    </w:r>
  </w:p>
  <w:p w:rsidR="004F5FC7" w:rsidRDefault="004F5FC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Default="004F5FC7"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E37EF0">
      <w:fldChar w:fldCharType="begin"/>
    </w:r>
    <w:r w:rsidR="00E37EF0">
      <w:instrText xml:space="preserve"> DOCVARIABLE  "Wp" \* MERGEFORMAT </w:instrText>
    </w:r>
    <w:r w:rsidR="00E37EF0">
      <w:fldChar w:fldCharType="separate"/>
    </w:r>
    <w:r w:rsidR="00D618AA">
      <w:t>18</w:t>
    </w:r>
    <w:r w:rsidR="00E37EF0">
      <w:fldChar w:fldCharType="end"/>
    </w:r>
    <w:r>
      <w:t>. Wahlperiode</w:t>
    </w:r>
    <w:r>
      <w:tab/>
    </w:r>
    <w:r>
      <w:tab/>
    </w:r>
    <w:r w:rsidRPr="009A2D8C">
      <w:rPr>
        <w:b/>
      </w:rPr>
      <w:t>Drucksache</w:t>
    </w:r>
    <w:r>
      <w:rPr>
        <w:b/>
      </w:rPr>
      <w:t xml:space="preserve"> </w:t>
    </w:r>
    <w:r w:rsidR="00E37EF0">
      <w:fldChar w:fldCharType="begin"/>
    </w:r>
    <w:r w:rsidR="00E37EF0">
      <w:instrText xml:space="preserve"> DOCVARIABLE  "Wp" \* MERGEFORMAT </w:instrText>
    </w:r>
    <w:r w:rsidR="00E37EF0">
      <w:fldChar w:fldCharType="separate"/>
    </w:r>
    <w:r w:rsidR="00D618AA">
      <w:t>18</w:t>
    </w:r>
    <w:r w:rsidR="00E37EF0">
      <w:fldChar w:fldCharType="end"/>
    </w:r>
    <w:r w:rsidRPr="00CA6785">
      <w:t>/</w:t>
    </w:r>
    <w:r>
      <w:rPr>
        <w:b/>
      </w:rPr>
      <w:fldChar w:fldCharType="begin"/>
    </w:r>
    <w:r>
      <w:rPr>
        <w:b/>
      </w:rPr>
      <w:instrText xml:space="preserve"> DOCVARIABLE  "Drsnr" \* MERGEFORMAT </w:instrText>
    </w:r>
    <w:r>
      <w:rPr>
        <w:b/>
      </w:rPr>
      <w:fldChar w:fldCharType="separate"/>
    </w:r>
    <w:r w:rsidR="00D618AA">
      <w:rPr>
        <w:b/>
      </w:rPr>
      <w:t>17121</w:t>
    </w:r>
    <w:r>
      <w:rPr>
        <w:b/>
      </w:rPr>
      <w:fldChar w:fldCharType="end"/>
    </w:r>
  </w:p>
  <w:p w:rsidR="004F5FC7" w:rsidRPr="00C127DA" w:rsidRDefault="004F5FC7"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Default="004F5FC7"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37915" w:rsidRPr="00E37915">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37915">
      <w:rPr>
        <w:sz w:val="22"/>
        <w:szCs w:val="22"/>
      </w:rPr>
      <w:t>05.07.2021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37915" w:rsidRPr="00E37915">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37915" w:rsidRPr="00E37915">
      <w:rPr>
        <w:b/>
        <w:bCs/>
        <w:sz w:val="42"/>
        <w:szCs w:val="42"/>
      </w:rPr>
      <w:t>17121</w:t>
    </w:r>
    <w:r w:rsidRPr="00853926">
      <w:rPr>
        <w:b/>
        <w:sz w:val="42"/>
        <w:szCs w:val="42"/>
      </w:rPr>
      <w:fldChar w:fldCharType="end"/>
    </w:r>
  </w:p>
  <w:p w:rsidR="004F5FC7" w:rsidRPr="004453BF" w:rsidRDefault="004F5FC7"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Pr="00A44F63" w:rsidRDefault="004F5FC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618AA">
      <w:rPr>
        <w:rStyle w:val="Seitenzahl"/>
        <w:noProof/>
        <w:szCs w:val="20"/>
      </w:rPr>
      <w:t>90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618A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618A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618AA">
      <w:rPr>
        <w:b/>
        <w:szCs w:val="20"/>
      </w:rPr>
      <w:t>17121</w:t>
    </w:r>
    <w:r w:rsidRPr="00A44F63">
      <w:rPr>
        <w:b/>
        <w:szCs w:val="20"/>
      </w:rPr>
      <w:fldChar w:fldCharType="end"/>
    </w:r>
  </w:p>
  <w:p w:rsidR="004F5FC7" w:rsidRPr="00861320" w:rsidRDefault="004F5FC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C7" w:rsidRPr="00DE5B17" w:rsidRDefault="004F5FC7"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618A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618AA">
      <w:rPr>
        <w:b/>
        <w:szCs w:val="20"/>
      </w:rPr>
      <w:t>17121</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618A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618AA">
      <w:rPr>
        <w:rStyle w:val="Seitenzahl"/>
        <w:noProof/>
        <w:szCs w:val="20"/>
      </w:rPr>
      <w:t>90</w:t>
    </w:r>
    <w:r w:rsidRPr="00DE5B17">
      <w:rPr>
        <w:rStyle w:val="Seitenzahl"/>
        <w:szCs w:val="20"/>
      </w:rPr>
      <w:fldChar w:fldCharType="end"/>
    </w:r>
  </w:p>
  <w:p w:rsidR="004F5FC7" w:rsidRPr="00601929" w:rsidRDefault="004F5FC7"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935D7"/>
    <w:multiLevelType w:val="hybridMultilevel"/>
    <w:tmpl w:val="79CE5BA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A2590B"/>
    <w:multiLevelType w:val="hybridMultilevel"/>
    <w:tmpl w:val="916EADB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8D83208"/>
    <w:multiLevelType w:val="hybridMultilevel"/>
    <w:tmpl w:val="4B1616A0"/>
    <w:lvl w:ilvl="0" w:tplc="351E26CC">
      <w:start w:val="1"/>
      <w:numFmt w:val="decimal"/>
      <w:lvlText w:val="%1."/>
      <w:lvlJc w:val="left"/>
      <w:pPr>
        <w:ind w:left="388" w:hanging="281"/>
      </w:pPr>
      <w:rPr>
        <w:rFonts w:hint="default"/>
        <w:w w:val="100"/>
        <w:sz w:val="18"/>
        <w:szCs w:val="28"/>
        <w:lang w:val="de-DE" w:eastAsia="de-DE" w:bidi="de-DE"/>
      </w:rPr>
    </w:lvl>
    <w:lvl w:ilvl="1" w:tplc="FB164826">
      <w:numFmt w:val="bullet"/>
      <w:lvlText w:val="•"/>
      <w:lvlJc w:val="left"/>
      <w:pPr>
        <w:ind w:left="1033" w:hanging="281"/>
      </w:pPr>
      <w:rPr>
        <w:rFonts w:hint="default"/>
        <w:lang w:val="de-DE" w:eastAsia="de-DE" w:bidi="de-DE"/>
      </w:rPr>
    </w:lvl>
    <w:lvl w:ilvl="2" w:tplc="5830A21A">
      <w:numFmt w:val="bullet"/>
      <w:lvlText w:val="•"/>
      <w:lvlJc w:val="left"/>
      <w:pPr>
        <w:ind w:left="1686" w:hanging="281"/>
      </w:pPr>
      <w:rPr>
        <w:rFonts w:hint="default"/>
        <w:lang w:val="de-DE" w:eastAsia="de-DE" w:bidi="de-DE"/>
      </w:rPr>
    </w:lvl>
    <w:lvl w:ilvl="3" w:tplc="2BC483F0">
      <w:numFmt w:val="bullet"/>
      <w:lvlText w:val="•"/>
      <w:lvlJc w:val="left"/>
      <w:pPr>
        <w:ind w:left="2339" w:hanging="281"/>
      </w:pPr>
      <w:rPr>
        <w:rFonts w:hint="default"/>
        <w:lang w:val="de-DE" w:eastAsia="de-DE" w:bidi="de-DE"/>
      </w:rPr>
    </w:lvl>
    <w:lvl w:ilvl="4" w:tplc="F738B702">
      <w:numFmt w:val="bullet"/>
      <w:lvlText w:val="•"/>
      <w:lvlJc w:val="left"/>
      <w:pPr>
        <w:ind w:left="2992" w:hanging="281"/>
      </w:pPr>
      <w:rPr>
        <w:rFonts w:hint="default"/>
        <w:lang w:val="de-DE" w:eastAsia="de-DE" w:bidi="de-DE"/>
      </w:rPr>
    </w:lvl>
    <w:lvl w:ilvl="5" w:tplc="7CC2AD12">
      <w:numFmt w:val="bullet"/>
      <w:lvlText w:val="•"/>
      <w:lvlJc w:val="left"/>
      <w:pPr>
        <w:ind w:left="3645" w:hanging="281"/>
      </w:pPr>
      <w:rPr>
        <w:rFonts w:hint="default"/>
        <w:lang w:val="de-DE" w:eastAsia="de-DE" w:bidi="de-DE"/>
      </w:rPr>
    </w:lvl>
    <w:lvl w:ilvl="6" w:tplc="04DCE546">
      <w:numFmt w:val="bullet"/>
      <w:lvlText w:val="•"/>
      <w:lvlJc w:val="left"/>
      <w:pPr>
        <w:ind w:left="4298" w:hanging="281"/>
      </w:pPr>
      <w:rPr>
        <w:rFonts w:hint="default"/>
        <w:lang w:val="de-DE" w:eastAsia="de-DE" w:bidi="de-DE"/>
      </w:rPr>
    </w:lvl>
    <w:lvl w:ilvl="7" w:tplc="753CF740">
      <w:numFmt w:val="bullet"/>
      <w:lvlText w:val="•"/>
      <w:lvlJc w:val="left"/>
      <w:pPr>
        <w:ind w:left="4951" w:hanging="281"/>
      </w:pPr>
      <w:rPr>
        <w:rFonts w:hint="default"/>
        <w:lang w:val="de-DE" w:eastAsia="de-DE" w:bidi="de-DE"/>
      </w:rPr>
    </w:lvl>
    <w:lvl w:ilvl="8" w:tplc="EDFA4838">
      <w:numFmt w:val="bullet"/>
      <w:lvlText w:val="•"/>
      <w:lvlJc w:val="left"/>
      <w:pPr>
        <w:ind w:left="5604" w:hanging="281"/>
      </w:pPr>
      <w:rPr>
        <w:rFonts w:hint="default"/>
        <w:lang w:val="de-DE" w:eastAsia="de-DE" w:bidi="de-DE"/>
      </w:r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707CE2"/>
    <w:multiLevelType w:val="hybridMultilevel"/>
    <w:tmpl w:val="EF60CB8A"/>
    <w:lvl w:ilvl="0" w:tplc="A1188132">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15:restartNumberingAfterBreak="0">
    <w:nsid w:val="47AC4995"/>
    <w:multiLevelType w:val="hybridMultilevel"/>
    <w:tmpl w:val="359E545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913E2E"/>
    <w:multiLevelType w:val="hybridMultilevel"/>
    <w:tmpl w:val="4E3CD2CE"/>
    <w:lvl w:ilvl="0" w:tplc="352403DC">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3BA1CEF"/>
    <w:multiLevelType w:val="hybridMultilevel"/>
    <w:tmpl w:val="832CA08C"/>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5"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23"/>
  </w:num>
  <w:num w:numId="4">
    <w:abstractNumId w:val="26"/>
  </w:num>
  <w:num w:numId="5">
    <w:abstractNumId w:val="25"/>
  </w:num>
  <w:num w:numId="6">
    <w:abstractNumId w:val="21"/>
  </w:num>
  <w:num w:numId="7">
    <w:abstractNumId w:val="11"/>
  </w:num>
  <w:num w:numId="8">
    <w:abstractNumId w:val="12"/>
  </w:num>
  <w:num w:numId="9">
    <w:abstractNumId w:val="27"/>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4"/>
  </w:num>
  <w:num w:numId="26">
    <w:abstractNumId w:val="18"/>
  </w:num>
  <w:num w:numId="27">
    <w:abstractNumId w:val="15"/>
  </w:num>
  <w:num w:numId="28">
    <w:abstractNumId w:val="10"/>
  </w:num>
  <w:num w:numId="29">
    <w:abstractNumId w:val="24"/>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0QFFES7WxssWNThXT34jbspvZeTeWGn7uqLEjGByXkS/K4bxzcKfA6Z1MJ9YCk/FVX14fASRL4KW1t6ZgHvPyQ==" w:salt="wLPelIWMeO+7WFt63GoLFg=="/>
  <w:defaultTabStop w:val="340"/>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6.07.2021"/>
    <w:docVar w:name="Drsnr" w:val="17121"/>
    <w:docVar w:name="Eingangsdatum" w:val="05.07.2021"/>
    <w:docVar w:name="Wochendatum" w:val="5. Juli 2021"/>
    <w:docVar w:name="Wp" w:val="18"/>
  </w:docVars>
  <w:rsids>
    <w:rsidRoot w:val="004E2F84"/>
    <w:rsid w:val="00002517"/>
    <w:rsid w:val="000029BC"/>
    <w:rsid w:val="00006292"/>
    <w:rsid w:val="000371B5"/>
    <w:rsid w:val="00043B70"/>
    <w:rsid w:val="000614E0"/>
    <w:rsid w:val="00061EB3"/>
    <w:rsid w:val="000673D4"/>
    <w:rsid w:val="000779F7"/>
    <w:rsid w:val="00083D54"/>
    <w:rsid w:val="0008617E"/>
    <w:rsid w:val="00097682"/>
    <w:rsid w:val="000A4228"/>
    <w:rsid w:val="000B068A"/>
    <w:rsid w:val="000B2A68"/>
    <w:rsid w:val="000B764D"/>
    <w:rsid w:val="000C480A"/>
    <w:rsid w:val="000C71A5"/>
    <w:rsid w:val="000C72A9"/>
    <w:rsid w:val="000C7D5A"/>
    <w:rsid w:val="000D30E8"/>
    <w:rsid w:val="000E21D9"/>
    <w:rsid w:val="000E73CC"/>
    <w:rsid w:val="000F07D0"/>
    <w:rsid w:val="000F109F"/>
    <w:rsid w:val="000F150F"/>
    <w:rsid w:val="000F3417"/>
    <w:rsid w:val="000F4201"/>
    <w:rsid w:val="00110E1B"/>
    <w:rsid w:val="00114B66"/>
    <w:rsid w:val="0012010C"/>
    <w:rsid w:val="0012546E"/>
    <w:rsid w:val="001356F0"/>
    <w:rsid w:val="00135D97"/>
    <w:rsid w:val="00136D38"/>
    <w:rsid w:val="001376A1"/>
    <w:rsid w:val="00141C03"/>
    <w:rsid w:val="00144123"/>
    <w:rsid w:val="00154F5F"/>
    <w:rsid w:val="001576CA"/>
    <w:rsid w:val="001579D6"/>
    <w:rsid w:val="00163927"/>
    <w:rsid w:val="00164D45"/>
    <w:rsid w:val="00164F0F"/>
    <w:rsid w:val="00165C98"/>
    <w:rsid w:val="00165D18"/>
    <w:rsid w:val="001676F2"/>
    <w:rsid w:val="00171CDA"/>
    <w:rsid w:val="0018266A"/>
    <w:rsid w:val="00193AB7"/>
    <w:rsid w:val="00194CC2"/>
    <w:rsid w:val="001B4853"/>
    <w:rsid w:val="001C6140"/>
    <w:rsid w:val="001D073A"/>
    <w:rsid w:val="001D3D21"/>
    <w:rsid w:val="001E27CD"/>
    <w:rsid w:val="001E298D"/>
    <w:rsid w:val="001E3461"/>
    <w:rsid w:val="001E41D1"/>
    <w:rsid w:val="001F240A"/>
    <w:rsid w:val="001F3CDA"/>
    <w:rsid w:val="001F4379"/>
    <w:rsid w:val="002126F5"/>
    <w:rsid w:val="00215CAA"/>
    <w:rsid w:val="00226E30"/>
    <w:rsid w:val="00227E77"/>
    <w:rsid w:val="002302DA"/>
    <w:rsid w:val="00231278"/>
    <w:rsid w:val="0023365B"/>
    <w:rsid w:val="00235942"/>
    <w:rsid w:val="002375B2"/>
    <w:rsid w:val="00246DE7"/>
    <w:rsid w:val="00251350"/>
    <w:rsid w:val="00277DD9"/>
    <w:rsid w:val="002822CD"/>
    <w:rsid w:val="00283D88"/>
    <w:rsid w:val="0028470E"/>
    <w:rsid w:val="00284AA1"/>
    <w:rsid w:val="00293F06"/>
    <w:rsid w:val="002B27E5"/>
    <w:rsid w:val="002B3E09"/>
    <w:rsid w:val="002D2A91"/>
    <w:rsid w:val="002D4019"/>
    <w:rsid w:val="002D53C0"/>
    <w:rsid w:val="002D5E77"/>
    <w:rsid w:val="002E0C62"/>
    <w:rsid w:val="002F309C"/>
    <w:rsid w:val="003078E2"/>
    <w:rsid w:val="00310A7B"/>
    <w:rsid w:val="00311533"/>
    <w:rsid w:val="0031185F"/>
    <w:rsid w:val="00315B5B"/>
    <w:rsid w:val="003220C1"/>
    <w:rsid w:val="00330AC4"/>
    <w:rsid w:val="003317ED"/>
    <w:rsid w:val="003343E3"/>
    <w:rsid w:val="00334A46"/>
    <w:rsid w:val="00335771"/>
    <w:rsid w:val="00336A2C"/>
    <w:rsid w:val="00351B35"/>
    <w:rsid w:val="00354E4E"/>
    <w:rsid w:val="003571B7"/>
    <w:rsid w:val="0036081C"/>
    <w:rsid w:val="00372E8C"/>
    <w:rsid w:val="00384BCC"/>
    <w:rsid w:val="003865DE"/>
    <w:rsid w:val="00390643"/>
    <w:rsid w:val="00390B65"/>
    <w:rsid w:val="003A0B46"/>
    <w:rsid w:val="003A6DDF"/>
    <w:rsid w:val="003B09EA"/>
    <w:rsid w:val="003B10EA"/>
    <w:rsid w:val="003B21D3"/>
    <w:rsid w:val="003B4646"/>
    <w:rsid w:val="003B62AE"/>
    <w:rsid w:val="003B7D59"/>
    <w:rsid w:val="003C3519"/>
    <w:rsid w:val="003C4151"/>
    <w:rsid w:val="003C653A"/>
    <w:rsid w:val="003D27C0"/>
    <w:rsid w:val="003D5DF9"/>
    <w:rsid w:val="003E0F9F"/>
    <w:rsid w:val="003E107C"/>
    <w:rsid w:val="003E2DEE"/>
    <w:rsid w:val="003E36C6"/>
    <w:rsid w:val="003E4991"/>
    <w:rsid w:val="003E7794"/>
    <w:rsid w:val="003E7E4B"/>
    <w:rsid w:val="003F1661"/>
    <w:rsid w:val="003F467B"/>
    <w:rsid w:val="0040502E"/>
    <w:rsid w:val="004104B6"/>
    <w:rsid w:val="004148C6"/>
    <w:rsid w:val="004155C2"/>
    <w:rsid w:val="004239D8"/>
    <w:rsid w:val="00431F16"/>
    <w:rsid w:val="00436378"/>
    <w:rsid w:val="0043707C"/>
    <w:rsid w:val="004453BF"/>
    <w:rsid w:val="0045402F"/>
    <w:rsid w:val="0045699A"/>
    <w:rsid w:val="004608CC"/>
    <w:rsid w:val="00465F83"/>
    <w:rsid w:val="00474E9B"/>
    <w:rsid w:val="00476B56"/>
    <w:rsid w:val="00496299"/>
    <w:rsid w:val="004A0B31"/>
    <w:rsid w:val="004A495D"/>
    <w:rsid w:val="004A7E4D"/>
    <w:rsid w:val="004B1413"/>
    <w:rsid w:val="004B184E"/>
    <w:rsid w:val="004B1F30"/>
    <w:rsid w:val="004B5A87"/>
    <w:rsid w:val="004C1BA3"/>
    <w:rsid w:val="004C3433"/>
    <w:rsid w:val="004D4829"/>
    <w:rsid w:val="004D7B2E"/>
    <w:rsid w:val="004E1031"/>
    <w:rsid w:val="004E2593"/>
    <w:rsid w:val="004E2F84"/>
    <w:rsid w:val="004F2494"/>
    <w:rsid w:val="004F5FC7"/>
    <w:rsid w:val="00502FBE"/>
    <w:rsid w:val="00503F3C"/>
    <w:rsid w:val="005040C2"/>
    <w:rsid w:val="00531D53"/>
    <w:rsid w:val="005321C0"/>
    <w:rsid w:val="0053309B"/>
    <w:rsid w:val="0053722F"/>
    <w:rsid w:val="00544156"/>
    <w:rsid w:val="005517B2"/>
    <w:rsid w:val="00567084"/>
    <w:rsid w:val="0057046C"/>
    <w:rsid w:val="0057191B"/>
    <w:rsid w:val="00572482"/>
    <w:rsid w:val="00582928"/>
    <w:rsid w:val="005833DD"/>
    <w:rsid w:val="005834A1"/>
    <w:rsid w:val="005878CA"/>
    <w:rsid w:val="00593216"/>
    <w:rsid w:val="00593818"/>
    <w:rsid w:val="005948CA"/>
    <w:rsid w:val="0059686D"/>
    <w:rsid w:val="005A0908"/>
    <w:rsid w:val="005A0EEC"/>
    <w:rsid w:val="005A79EC"/>
    <w:rsid w:val="005B6943"/>
    <w:rsid w:val="005C55DD"/>
    <w:rsid w:val="005C5701"/>
    <w:rsid w:val="005D0F29"/>
    <w:rsid w:val="005D3C42"/>
    <w:rsid w:val="005F371F"/>
    <w:rsid w:val="00601929"/>
    <w:rsid w:val="00602F44"/>
    <w:rsid w:val="00606488"/>
    <w:rsid w:val="006076A5"/>
    <w:rsid w:val="00610EFD"/>
    <w:rsid w:val="00611FE7"/>
    <w:rsid w:val="00615110"/>
    <w:rsid w:val="0062036D"/>
    <w:rsid w:val="00620B1D"/>
    <w:rsid w:val="00651968"/>
    <w:rsid w:val="00653E6D"/>
    <w:rsid w:val="00661F4C"/>
    <w:rsid w:val="00662292"/>
    <w:rsid w:val="00675AED"/>
    <w:rsid w:val="006811C0"/>
    <w:rsid w:val="0068306E"/>
    <w:rsid w:val="006B0212"/>
    <w:rsid w:val="006B1709"/>
    <w:rsid w:val="006B5A77"/>
    <w:rsid w:val="006C4DB6"/>
    <w:rsid w:val="006C5C31"/>
    <w:rsid w:val="006D0FD8"/>
    <w:rsid w:val="006D2E83"/>
    <w:rsid w:val="006E0274"/>
    <w:rsid w:val="006E5B9D"/>
    <w:rsid w:val="006E77CA"/>
    <w:rsid w:val="006F0AB3"/>
    <w:rsid w:val="007061D4"/>
    <w:rsid w:val="007103AF"/>
    <w:rsid w:val="00714C18"/>
    <w:rsid w:val="00717184"/>
    <w:rsid w:val="00732175"/>
    <w:rsid w:val="007327A9"/>
    <w:rsid w:val="0075012C"/>
    <w:rsid w:val="0075769E"/>
    <w:rsid w:val="00760A53"/>
    <w:rsid w:val="00761779"/>
    <w:rsid w:val="00762CAF"/>
    <w:rsid w:val="007649D6"/>
    <w:rsid w:val="00764C64"/>
    <w:rsid w:val="00770146"/>
    <w:rsid w:val="00771F87"/>
    <w:rsid w:val="0077325F"/>
    <w:rsid w:val="0077709E"/>
    <w:rsid w:val="00781527"/>
    <w:rsid w:val="00781FB1"/>
    <w:rsid w:val="007868AE"/>
    <w:rsid w:val="00787923"/>
    <w:rsid w:val="007938C8"/>
    <w:rsid w:val="007942E0"/>
    <w:rsid w:val="00797183"/>
    <w:rsid w:val="007A3E3F"/>
    <w:rsid w:val="007A52F5"/>
    <w:rsid w:val="007B0B33"/>
    <w:rsid w:val="00805E8A"/>
    <w:rsid w:val="008062A0"/>
    <w:rsid w:val="00816C6F"/>
    <w:rsid w:val="00822EE3"/>
    <w:rsid w:val="00825C50"/>
    <w:rsid w:val="00834C49"/>
    <w:rsid w:val="00844005"/>
    <w:rsid w:val="00846D02"/>
    <w:rsid w:val="008540E3"/>
    <w:rsid w:val="008606C1"/>
    <w:rsid w:val="00861C6B"/>
    <w:rsid w:val="00863A28"/>
    <w:rsid w:val="00863D7F"/>
    <w:rsid w:val="00880170"/>
    <w:rsid w:val="008803A9"/>
    <w:rsid w:val="00881163"/>
    <w:rsid w:val="008930C0"/>
    <w:rsid w:val="00897172"/>
    <w:rsid w:val="008A671A"/>
    <w:rsid w:val="008B1E3C"/>
    <w:rsid w:val="008C3EAF"/>
    <w:rsid w:val="008C6176"/>
    <w:rsid w:val="008D2301"/>
    <w:rsid w:val="008E12AD"/>
    <w:rsid w:val="008E2258"/>
    <w:rsid w:val="008E3C99"/>
    <w:rsid w:val="008E41C5"/>
    <w:rsid w:val="008E7B3B"/>
    <w:rsid w:val="00904304"/>
    <w:rsid w:val="0091136E"/>
    <w:rsid w:val="00911F24"/>
    <w:rsid w:val="00914715"/>
    <w:rsid w:val="009149D4"/>
    <w:rsid w:val="009229F8"/>
    <w:rsid w:val="009234BF"/>
    <w:rsid w:val="0092602C"/>
    <w:rsid w:val="009310B8"/>
    <w:rsid w:val="00932D27"/>
    <w:rsid w:val="0095379B"/>
    <w:rsid w:val="00962732"/>
    <w:rsid w:val="00966E35"/>
    <w:rsid w:val="00977682"/>
    <w:rsid w:val="00977E1A"/>
    <w:rsid w:val="009837B0"/>
    <w:rsid w:val="009924CE"/>
    <w:rsid w:val="00992621"/>
    <w:rsid w:val="00995D8F"/>
    <w:rsid w:val="009A2D8C"/>
    <w:rsid w:val="009A5A06"/>
    <w:rsid w:val="009A7E26"/>
    <w:rsid w:val="009B3DA8"/>
    <w:rsid w:val="009B6B5E"/>
    <w:rsid w:val="009B7205"/>
    <w:rsid w:val="009B7B8F"/>
    <w:rsid w:val="009C1AC7"/>
    <w:rsid w:val="009C32BE"/>
    <w:rsid w:val="009D3FE7"/>
    <w:rsid w:val="009D5962"/>
    <w:rsid w:val="009E1F0A"/>
    <w:rsid w:val="009E25A3"/>
    <w:rsid w:val="009E41B6"/>
    <w:rsid w:val="009E5D5C"/>
    <w:rsid w:val="009E6DDB"/>
    <w:rsid w:val="009F6B94"/>
    <w:rsid w:val="00A17038"/>
    <w:rsid w:val="00A2276D"/>
    <w:rsid w:val="00A25D7C"/>
    <w:rsid w:val="00A265DC"/>
    <w:rsid w:val="00A27016"/>
    <w:rsid w:val="00A3195E"/>
    <w:rsid w:val="00A3336A"/>
    <w:rsid w:val="00A42EAA"/>
    <w:rsid w:val="00A44F63"/>
    <w:rsid w:val="00A47020"/>
    <w:rsid w:val="00A5482B"/>
    <w:rsid w:val="00A603C5"/>
    <w:rsid w:val="00A61AF3"/>
    <w:rsid w:val="00A66E15"/>
    <w:rsid w:val="00A76D72"/>
    <w:rsid w:val="00A84172"/>
    <w:rsid w:val="00A96B48"/>
    <w:rsid w:val="00AA3478"/>
    <w:rsid w:val="00AA7233"/>
    <w:rsid w:val="00AB0419"/>
    <w:rsid w:val="00AB6B60"/>
    <w:rsid w:val="00AC47E6"/>
    <w:rsid w:val="00AC4F98"/>
    <w:rsid w:val="00AC4FC6"/>
    <w:rsid w:val="00AC74AA"/>
    <w:rsid w:val="00AD1F73"/>
    <w:rsid w:val="00AD7E0F"/>
    <w:rsid w:val="00AE1029"/>
    <w:rsid w:val="00AE3D45"/>
    <w:rsid w:val="00AF658F"/>
    <w:rsid w:val="00B246BA"/>
    <w:rsid w:val="00B3698E"/>
    <w:rsid w:val="00B44543"/>
    <w:rsid w:val="00B45132"/>
    <w:rsid w:val="00B51491"/>
    <w:rsid w:val="00B5204D"/>
    <w:rsid w:val="00B57DE6"/>
    <w:rsid w:val="00B64621"/>
    <w:rsid w:val="00B650E7"/>
    <w:rsid w:val="00B66E23"/>
    <w:rsid w:val="00B753A4"/>
    <w:rsid w:val="00B8046D"/>
    <w:rsid w:val="00B82BE0"/>
    <w:rsid w:val="00B85638"/>
    <w:rsid w:val="00B902FE"/>
    <w:rsid w:val="00B91015"/>
    <w:rsid w:val="00B9456C"/>
    <w:rsid w:val="00BA7AAC"/>
    <w:rsid w:val="00BB117A"/>
    <w:rsid w:val="00BB327F"/>
    <w:rsid w:val="00BB3E7A"/>
    <w:rsid w:val="00BB5D9E"/>
    <w:rsid w:val="00BB6019"/>
    <w:rsid w:val="00BB6DDE"/>
    <w:rsid w:val="00BC1C8F"/>
    <w:rsid w:val="00BC4D4B"/>
    <w:rsid w:val="00BC55FA"/>
    <w:rsid w:val="00BD5052"/>
    <w:rsid w:val="00BD7DB0"/>
    <w:rsid w:val="00BE0A75"/>
    <w:rsid w:val="00BE361C"/>
    <w:rsid w:val="00C034C9"/>
    <w:rsid w:val="00C11892"/>
    <w:rsid w:val="00C127DA"/>
    <w:rsid w:val="00C20D25"/>
    <w:rsid w:val="00C31000"/>
    <w:rsid w:val="00C4558C"/>
    <w:rsid w:val="00C54C38"/>
    <w:rsid w:val="00C64946"/>
    <w:rsid w:val="00C65599"/>
    <w:rsid w:val="00C67283"/>
    <w:rsid w:val="00C67AD3"/>
    <w:rsid w:val="00C743BB"/>
    <w:rsid w:val="00C76085"/>
    <w:rsid w:val="00C76226"/>
    <w:rsid w:val="00C83A7D"/>
    <w:rsid w:val="00C841E1"/>
    <w:rsid w:val="00C84F2D"/>
    <w:rsid w:val="00C84F6F"/>
    <w:rsid w:val="00C869DC"/>
    <w:rsid w:val="00C95F05"/>
    <w:rsid w:val="00CA46E4"/>
    <w:rsid w:val="00CB1499"/>
    <w:rsid w:val="00CB7EC3"/>
    <w:rsid w:val="00CC1476"/>
    <w:rsid w:val="00CC20C5"/>
    <w:rsid w:val="00CC43A0"/>
    <w:rsid w:val="00CC6B36"/>
    <w:rsid w:val="00CC77D8"/>
    <w:rsid w:val="00CC7D0D"/>
    <w:rsid w:val="00CD314B"/>
    <w:rsid w:val="00CD631D"/>
    <w:rsid w:val="00CD6B4E"/>
    <w:rsid w:val="00CE2154"/>
    <w:rsid w:val="00CE5E4F"/>
    <w:rsid w:val="00CF5AA4"/>
    <w:rsid w:val="00CF74CD"/>
    <w:rsid w:val="00CF77F6"/>
    <w:rsid w:val="00D012C1"/>
    <w:rsid w:val="00D03755"/>
    <w:rsid w:val="00D0623A"/>
    <w:rsid w:val="00D07F06"/>
    <w:rsid w:val="00D16832"/>
    <w:rsid w:val="00D31808"/>
    <w:rsid w:val="00D32A7D"/>
    <w:rsid w:val="00D33D48"/>
    <w:rsid w:val="00D3404D"/>
    <w:rsid w:val="00D45EB8"/>
    <w:rsid w:val="00D46E54"/>
    <w:rsid w:val="00D47CB5"/>
    <w:rsid w:val="00D5247F"/>
    <w:rsid w:val="00D52FA8"/>
    <w:rsid w:val="00D6160D"/>
    <w:rsid w:val="00D618AA"/>
    <w:rsid w:val="00D82366"/>
    <w:rsid w:val="00D83DC5"/>
    <w:rsid w:val="00DA1063"/>
    <w:rsid w:val="00DA2424"/>
    <w:rsid w:val="00DA2A9F"/>
    <w:rsid w:val="00DA74F1"/>
    <w:rsid w:val="00DB29C5"/>
    <w:rsid w:val="00DC6F57"/>
    <w:rsid w:val="00DD22CE"/>
    <w:rsid w:val="00DD48D5"/>
    <w:rsid w:val="00DE199D"/>
    <w:rsid w:val="00DE5B17"/>
    <w:rsid w:val="00DF4808"/>
    <w:rsid w:val="00DF7A33"/>
    <w:rsid w:val="00E06311"/>
    <w:rsid w:val="00E11BA2"/>
    <w:rsid w:val="00E175A9"/>
    <w:rsid w:val="00E17E40"/>
    <w:rsid w:val="00E20373"/>
    <w:rsid w:val="00E2431C"/>
    <w:rsid w:val="00E31E97"/>
    <w:rsid w:val="00E3270E"/>
    <w:rsid w:val="00E365B7"/>
    <w:rsid w:val="00E37915"/>
    <w:rsid w:val="00E37EF0"/>
    <w:rsid w:val="00E404BB"/>
    <w:rsid w:val="00E46E30"/>
    <w:rsid w:val="00E503CA"/>
    <w:rsid w:val="00E579C1"/>
    <w:rsid w:val="00E6572C"/>
    <w:rsid w:val="00E72D19"/>
    <w:rsid w:val="00E7333F"/>
    <w:rsid w:val="00E73E5A"/>
    <w:rsid w:val="00E7475C"/>
    <w:rsid w:val="00E85D1C"/>
    <w:rsid w:val="00E85F04"/>
    <w:rsid w:val="00E960B7"/>
    <w:rsid w:val="00EA362C"/>
    <w:rsid w:val="00EB15A8"/>
    <w:rsid w:val="00EB6C16"/>
    <w:rsid w:val="00EC2C1B"/>
    <w:rsid w:val="00EC75D6"/>
    <w:rsid w:val="00ED4839"/>
    <w:rsid w:val="00ED7023"/>
    <w:rsid w:val="00EE1357"/>
    <w:rsid w:val="00EE4A4A"/>
    <w:rsid w:val="00EF116E"/>
    <w:rsid w:val="00EF398E"/>
    <w:rsid w:val="00EF67A7"/>
    <w:rsid w:val="00F0047B"/>
    <w:rsid w:val="00F00864"/>
    <w:rsid w:val="00F210D0"/>
    <w:rsid w:val="00F23429"/>
    <w:rsid w:val="00F26F3D"/>
    <w:rsid w:val="00F33063"/>
    <w:rsid w:val="00F40E33"/>
    <w:rsid w:val="00F44D16"/>
    <w:rsid w:val="00F559D3"/>
    <w:rsid w:val="00F73B72"/>
    <w:rsid w:val="00F74333"/>
    <w:rsid w:val="00F769C0"/>
    <w:rsid w:val="00F76B51"/>
    <w:rsid w:val="00F7722D"/>
    <w:rsid w:val="00F827A4"/>
    <w:rsid w:val="00F90A07"/>
    <w:rsid w:val="00F9374C"/>
    <w:rsid w:val="00F9545F"/>
    <w:rsid w:val="00FA2C4A"/>
    <w:rsid w:val="00FA64C1"/>
    <w:rsid w:val="00FB269D"/>
    <w:rsid w:val="00FB2E54"/>
    <w:rsid w:val="00FB64A8"/>
    <w:rsid w:val="00FC56C7"/>
    <w:rsid w:val="00FD5972"/>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93FAC1D-271E-43B2-8719-FEEA2EE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customStyle="1" w:styleId="Default">
    <w:name w:val="Default"/>
    <w:rsid w:val="00CD314B"/>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9D3FE7"/>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9D3FE7"/>
  </w:style>
  <w:style w:type="character" w:styleId="Funotenzeichen">
    <w:name w:val="footnote reference"/>
    <w:basedOn w:val="Absatz-Standardschriftart"/>
    <w:uiPriority w:val="99"/>
    <w:semiHidden/>
    <w:unhideWhenUsed/>
    <w:rsid w:val="009D3FE7"/>
    <w:rPr>
      <w:rFonts w:cs="Times New Roman"/>
      <w:vertAlign w:val="superscript"/>
    </w:rPr>
  </w:style>
  <w:style w:type="table" w:customStyle="1" w:styleId="TableNormal">
    <w:name w:val="Table Normal"/>
    <w:uiPriority w:val="2"/>
    <w:semiHidden/>
    <w:unhideWhenUsed/>
    <w:qFormat/>
    <w:rsid w:val="00CB7E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B7EC3"/>
    <w:pPr>
      <w:widowControl w:val="0"/>
      <w:autoSpaceDE w:val="0"/>
      <w:autoSpaceDN w:val="0"/>
      <w:ind w:left="388" w:hanging="281"/>
    </w:pPr>
    <w:rPr>
      <w:rFonts w:ascii="Times New Roman" w:hAnsi="Times New Roman"/>
      <w:sz w:val="22"/>
      <w:szCs w:val="22"/>
      <w:lang w:bidi="de-DE"/>
    </w:rPr>
  </w:style>
  <w:style w:type="paragraph" w:styleId="Textkrper">
    <w:name w:val="Body Text"/>
    <w:basedOn w:val="Standard"/>
    <w:link w:val="TextkrperZchn"/>
    <w:uiPriority w:val="1"/>
    <w:qFormat/>
    <w:rsid w:val="00436378"/>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436378"/>
    <w:rPr>
      <w:rFonts w:ascii="Arial" w:eastAsia="Arial" w:hAnsi="Arial" w:cs="Arial"/>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lgaeu-rechtsaussen.de" TargetMode="External"/><Relationship Id="rId18" Type="http://schemas.openxmlformats.org/officeDocument/2006/relationships/hyperlink" Target="https://catholicfamilynews.com/blog/2020/10/30/open-letter-to-president-donald-trum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test.de/Masken-Welcher-Mund-Nasen-Schutz-hilft-am-besten-gegen-Corona-569259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f74sWxHJXm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stmelf.bayern.de/agrarpoli-tik/239891/index.php" TargetMode="External"/><Relationship Id="rId20" Type="http://schemas.openxmlformats.org/officeDocument/2006/relationships/hyperlink" Target="https://www.sciencedirect.com/science/article/pii/S0021850220301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0500/0000010836_Winhart_Anlage.pdf" TargetMode="External"/><Relationship Id="rId23" Type="http://schemas.openxmlformats.org/officeDocument/2006/relationships/hyperlink" Target="https://www.rki.de/DE/Content/InfAZ/N/Neuartiges_Coronavirus/DESH/Berichte-VOC-tab.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farm.de/SharedDocs/Risikoinformationen/Medizinprodukte/DE/schutzmaske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0500/0000010836_Urban_Anlage.pdf" TargetMode="External"/><Relationship Id="rId22" Type="http://schemas.openxmlformats.org/officeDocument/2006/relationships/hyperlink" Target="https://www.lgl.bayern.de/gesundheit/infektionsschutz/infektionskrankheiten_a_z/coronavirus/karte_coronavirus/voc_zahlen.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ki.de/DE/Content/InfAZ/N/Neuartiges_Coronavirus/Situationsberichte/Jun_2021/2021-06-29-de.pdf?__blob=publicationFile" TargetMode="External"/><Relationship Id="rId7" Type="http://schemas.openxmlformats.org/officeDocument/2006/relationships/hyperlink" Target="https://www.landtag.de" TargetMode="External"/><Relationship Id="rId2" Type="http://schemas.openxmlformats.org/officeDocument/2006/relationships/hyperlink" Target="https://www.divi.de/divi-intensivregister-tagesreport-archiv/viewdocument/5805/divi-intensivregister-tagesreport-2021-07-04" TargetMode="External"/><Relationship Id="rId1" Type="http://schemas.openxmlformats.org/officeDocument/2006/relationships/hyperlink" Target="https://taz.de/Website-von-Abtreibungsgegner_innen/!5726128/" TargetMode="External"/><Relationship Id="rId6" Type="http://schemas.openxmlformats.org/officeDocument/2006/relationships/hyperlink" Target="https://pace.coe.int/en/files/29004/html" TargetMode="External"/><Relationship Id="rId5" Type="http://schemas.openxmlformats.org/officeDocument/2006/relationships/hyperlink" Target="https://www.rki.de/DE/Content/InfAZ/N/Neuartiges_Coronavirus/Situationsberichte/Jun_2021/2021-06-29-de.pdf?__blob=publicationFile" TargetMode="External"/><Relationship Id="rId4" Type="http://schemas.openxmlformats.org/officeDocument/2006/relationships/hyperlink" Target="https://ourworldindata.org/covid-death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46F4-2372-4C72-A8FB-5E21AC2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22832</Words>
  <Characters>158281</Characters>
  <Application>Microsoft Office Word</Application>
  <DocSecurity>8</DocSecurity>
  <Lines>3594</Lines>
  <Paragraphs>1006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18/17121</dc:title>
  <dc:creator>Geier, Stephanie</dc:creator>
  <cp:lastModifiedBy>Kohl, Hubert (LTA)</cp:lastModifiedBy>
  <cp:revision>4</cp:revision>
  <cp:lastPrinted>2006-11-23T10:15:00Z</cp:lastPrinted>
  <dcterms:created xsi:type="dcterms:W3CDTF">2021-07-22T20:57:00Z</dcterms:created>
  <dcterms:modified xsi:type="dcterms:W3CDTF">2021-07-22T20:57:00Z</dcterms:modified>
</cp:coreProperties>
</file>